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F09" w:rsidRPr="004F7022" w:rsidRDefault="00532F09" w:rsidP="00294094">
      <w:pPr>
        <w:pStyle w:val="Sansinterligne"/>
        <w:rPr>
          <w:rFonts w:asciiTheme="minorHAnsi" w:hAnsiTheme="minorHAnsi"/>
        </w:rPr>
      </w:pPr>
    </w:p>
    <w:p w:rsidR="00600CCF" w:rsidRPr="004F7022" w:rsidRDefault="00600CCF" w:rsidP="00294094">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 w:val="26"/>
          <w:szCs w:val="26"/>
        </w:rPr>
      </w:pPr>
      <w:r w:rsidRPr="004F7022">
        <w:rPr>
          <w:rFonts w:asciiTheme="minorHAnsi" w:hAnsiTheme="minorHAnsi"/>
          <w:b/>
          <w:sz w:val="26"/>
          <w:szCs w:val="26"/>
        </w:rPr>
        <w:t>Dans votre livre</w:t>
      </w:r>
      <w:r w:rsidR="00294094" w:rsidRPr="004F7022">
        <w:rPr>
          <w:rFonts w:asciiTheme="minorHAnsi" w:hAnsiTheme="minorHAnsi"/>
          <w:b/>
          <w:sz w:val="26"/>
          <w:szCs w:val="26"/>
        </w:rPr>
        <w:t xml:space="preserve"> – pour vous entrainer</w:t>
      </w:r>
    </w:p>
    <w:p w:rsidR="00600CCF" w:rsidRPr="004F7022" w:rsidRDefault="00600CCF" w:rsidP="00294094">
      <w:pPr>
        <w:pStyle w:val="Sansinterligne"/>
        <w:rPr>
          <w:rFonts w:asciiTheme="minorHAnsi" w:hAnsiTheme="minorHAnsi"/>
          <w:sz w:val="14"/>
        </w:rPr>
      </w:pPr>
    </w:p>
    <w:p w:rsidR="00600CCF" w:rsidRDefault="00600CCF" w:rsidP="00294094">
      <w:pPr>
        <w:pStyle w:val="Sansinterligne"/>
        <w:rPr>
          <w:rFonts w:asciiTheme="minorHAnsi" w:hAnsiTheme="minorHAnsi"/>
        </w:rPr>
      </w:pPr>
      <w:r w:rsidRPr="004F7022">
        <w:rPr>
          <w:rFonts w:asciiTheme="minorHAnsi" w:hAnsiTheme="minorHAnsi"/>
        </w:rPr>
        <w:t xml:space="preserve">Dans votre livre, travailler : </w:t>
      </w:r>
    </w:p>
    <w:p w:rsidR="00C44D44" w:rsidRPr="00C44D44" w:rsidRDefault="00C44D44" w:rsidP="00294094">
      <w:pPr>
        <w:pStyle w:val="Sansinterligne"/>
        <w:rPr>
          <w:rFonts w:asciiTheme="minorHAnsi" w:hAnsiTheme="minorHAnsi"/>
          <w:sz w:val="8"/>
          <w:szCs w:val="8"/>
        </w:rPr>
      </w:pPr>
    </w:p>
    <w:p w:rsidR="00294094" w:rsidRDefault="00B41230" w:rsidP="00834C45">
      <w:pPr>
        <w:pStyle w:val="Sansinterligne"/>
        <w:rPr>
          <w:rFonts w:asciiTheme="minorHAnsi" w:hAnsiTheme="minorHAnsi"/>
        </w:rPr>
      </w:pPr>
      <w:r w:rsidRPr="00B41230">
        <w:rPr>
          <w:rFonts w:asciiTheme="minorHAnsi" w:hAnsiTheme="minorHAnsi"/>
          <w:b/>
        </w:rPr>
        <w:tab/>
      </w:r>
      <w:r w:rsidRPr="00B41230">
        <w:rPr>
          <w:rFonts w:asciiTheme="minorHAnsi" w:hAnsiTheme="minorHAnsi"/>
          <w:b/>
        </w:rPr>
        <w:tab/>
      </w:r>
      <w:r w:rsidR="004C3448">
        <w:rPr>
          <w:rFonts w:asciiTheme="minorHAnsi" w:hAnsiTheme="minorHAnsi"/>
        </w:rPr>
        <w:t xml:space="preserve">- Lire pages </w:t>
      </w:r>
      <w:r w:rsidR="001C1069">
        <w:rPr>
          <w:rFonts w:asciiTheme="minorHAnsi" w:hAnsiTheme="minorHAnsi"/>
        </w:rPr>
        <w:t>394 à 411</w:t>
      </w:r>
    </w:p>
    <w:p w:rsidR="00834C45" w:rsidRDefault="00CE5CF3" w:rsidP="00834C45">
      <w:pPr>
        <w:pStyle w:val="Sansinterligne"/>
        <w:rPr>
          <w:rFonts w:asciiTheme="minorHAnsi" w:hAnsiTheme="minorHAnsi"/>
        </w:rPr>
      </w:pPr>
      <w:r>
        <w:rPr>
          <w:rFonts w:asciiTheme="minorHAnsi" w:hAnsiTheme="minorHAnsi"/>
        </w:rPr>
        <w:tab/>
      </w:r>
      <w:r w:rsidR="00C44D44">
        <w:rPr>
          <w:rFonts w:asciiTheme="minorHAnsi" w:hAnsiTheme="minorHAnsi"/>
        </w:rPr>
        <w:tab/>
      </w:r>
      <w:r>
        <w:rPr>
          <w:rFonts w:asciiTheme="minorHAnsi" w:hAnsiTheme="minorHAnsi"/>
        </w:rPr>
        <w:t xml:space="preserve">- exercice </w:t>
      </w:r>
      <w:r w:rsidR="001C1069">
        <w:rPr>
          <w:rFonts w:asciiTheme="minorHAnsi" w:hAnsiTheme="minorHAnsi"/>
        </w:rPr>
        <w:t>2 3</w:t>
      </w:r>
      <w:r w:rsidR="00E75C0D">
        <w:rPr>
          <w:rFonts w:asciiTheme="minorHAnsi" w:hAnsiTheme="minorHAnsi"/>
        </w:rPr>
        <w:t>-</w:t>
      </w:r>
      <w:r w:rsidR="001C1069">
        <w:rPr>
          <w:rFonts w:asciiTheme="minorHAnsi" w:hAnsiTheme="minorHAnsi"/>
        </w:rPr>
        <w:t>p 414-415</w:t>
      </w:r>
    </w:p>
    <w:p w:rsidR="00C80282" w:rsidRDefault="00C44D44" w:rsidP="00C80282">
      <w:pPr>
        <w:pStyle w:val="Sansinterligne"/>
        <w:rPr>
          <w:rFonts w:asciiTheme="minorHAnsi" w:hAnsiTheme="minorHAnsi"/>
        </w:rPr>
      </w:pPr>
      <w:r>
        <w:rPr>
          <w:rFonts w:asciiTheme="minorHAnsi" w:hAnsiTheme="minorHAnsi"/>
        </w:rPr>
        <w:tab/>
      </w:r>
      <w:r w:rsidR="00CE5CF3">
        <w:rPr>
          <w:rFonts w:asciiTheme="minorHAnsi" w:hAnsiTheme="minorHAnsi"/>
        </w:rPr>
        <w:tab/>
        <w:t xml:space="preserve">- exercice </w:t>
      </w:r>
      <w:r w:rsidR="00B41230">
        <w:rPr>
          <w:rFonts w:asciiTheme="minorHAnsi" w:hAnsiTheme="minorHAnsi"/>
        </w:rPr>
        <w:t>5 p 416</w:t>
      </w:r>
    </w:p>
    <w:p w:rsidR="00834C45" w:rsidRDefault="00C44D44" w:rsidP="00834C45">
      <w:pPr>
        <w:pStyle w:val="Sansinterligne"/>
        <w:rPr>
          <w:rFonts w:asciiTheme="minorHAnsi" w:hAnsiTheme="minorHAnsi"/>
        </w:rPr>
      </w:pPr>
      <w:r>
        <w:rPr>
          <w:rFonts w:asciiTheme="minorHAnsi" w:hAnsiTheme="minorHAnsi"/>
        </w:rPr>
        <w:tab/>
      </w:r>
      <w:r w:rsidR="00834C45">
        <w:rPr>
          <w:rFonts w:asciiTheme="minorHAnsi" w:hAnsiTheme="minorHAnsi"/>
        </w:rPr>
        <w:tab/>
        <w:t xml:space="preserve">- exercice </w:t>
      </w:r>
      <w:r w:rsidR="00B41230">
        <w:rPr>
          <w:rFonts w:asciiTheme="minorHAnsi" w:hAnsiTheme="minorHAnsi"/>
        </w:rPr>
        <w:t>6 p 417</w:t>
      </w:r>
    </w:p>
    <w:p w:rsidR="00B41230" w:rsidRPr="004F7022" w:rsidRDefault="00B41230" w:rsidP="00834C45">
      <w:pPr>
        <w:pStyle w:val="Sansinterligne"/>
        <w:rPr>
          <w:rFonts w:asciiTheme="minorHAnsi" w:hAnsiTheme="minorHAnsi"/>
          <w:b/>
        </w:rPr>
      </w:pPr>
    </w:p>
    <w:p w:rsidR="000C4498" w:rsidRDefault="000C4498" w:rsidP="00513DC6">
      <w:pPr>
        <w:pStyle w:val="Sansinterligne"/>
        <w:rPr>
          <w:rFonts w:asciiTheme="minorHAnsi" w:hAnsiTheme="minorHAnsi"/>
          <w:sz w:val="14"/>
        </w:rPr>
      </w:pPr>
    </w:p>
    <w:p w:rsidR="00D01CAC" w:rsidRPr="004F7022" w:rsidRDefault="00E55C3A" w:rsidP="00D01CAC">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 w:val="26"/>
          <w:szCs w:val="26"/>
        </w:rPr>
      </w:pPr>
      <w:r>
        <w:rPr>
          <w:rFonts w:asciiTheme="minorHAnsi" w:hAnsiTheme="minorHAnsi"/>
          <w:b/>
          <w:sz w:val="26"/>
          <w:szCs w:val="26"/>
        </w:rPr>
        <w:t>Exercice 1</w:t>
      </w:r>
      <w:r w:rsidR="00D01CAC" w:rsidRPr="004F7022">
        <w:rPr>
          <w:rFonts w:asciiTheme="minorHAnsi" w:hAnsiTheme="minorHAnsi"/>
          <w:b/>
          <w:sz w:val="26"/>
          <w:szCs w:val="26"/>
        </w:rPr>
        <w:t xml:space="preserve"> - </w:t>
      </w:r>
      <w:r w:rsidR="004F7022" w:rsidRPr="004F7022">
        <w:rPr>
          <w:rFonts w:asciiTheme="minorHAnsi" w:hAnsiTheme="minorHAnsi"/>
          <w:b/>
          <w:sz w:val="26"/>
          <w:szCs w:val="26"/>
        </w:rPr>
        <w:t xml:space="preserve"> </w:t>
      </w:r>
      <w:r w:rsidR="00C80282">
        <w:rPr>
          <w:rFonts w:asciiTheme="minorHAnsi" w:hAnsiTheme="minorHAnsi" w:cs="Arial"/>
          <w:b/>
          <w:bCs/>
          <w:sz w:val="26"/>
          <w:szCs w:val="26"/>
        </w:rPr>
        <w:tab/>
      </w:r>
      <w:r w:rsidR="003F6E04" w:rsidRPr="003F6E04">
        <w:rPr>
          <w:rFonts w:asciiTheme="minorHAnsi" w:hAnsiTheme="minorHAnsi" w:cs="Arial"/>
          <w:b/>
          <w:bCs/>
          <w:sz w:val="26"/>
          <w:szCs w:val="26"/>
        </w:rPr>
        <w:t xml:space="preserve">Expérience historique de Gustav Nossal 1959 </w:t>
      </w:r>
      <w:r w:rsidR="003E6B3A">
        <w:rPr>
          <w:rFonts w:asciiTheme="minorHAnsi" w:hAnsiTheme="minorHAnsi" w:cs="Arial"/>
          <w:b/>
          <w:bCs/>
          <w:sz w:val="26"/>
          <w:szCs w:val="26"/>
        </w:rPr>
        <w:t xml:space="preserve"> - </w:t>
      </w:r>
      <w:r w:rsidR="003F6E04">
        <w:rPr>
          <w:rFonts w:asciiTheme="minorHAnsi" w:hAnsiTheme="minorHAnsi" w:cs="Arial"/>
          <w:bCs/>
          <w:sz w:val="26"/>
          <w:szCs w:val="26"/>
        </w:rPr>
        <w:t>Afrique 2015</w:t>
      </w:r>
      <w:r w:rsidR="003F6E04">
        <w:rPr>
          <w:rFonts w:asciiTheme="minorHAnsi" w:hAnsiTheme="minorHAnsi" w:cs="Arial"/>
          <w:bCs/>
          <w:sz w:val="26"/>
          <w:szCs w:val="26"/>
        </w:rPr>
        <w:tab/>
      </w:r>
      <w:r w:rsidR="00182AD1">
        <w:rPr>
          <w:rFonts w:asciiTheme="minorHAnsi" w:hAnsiTheme="minorHAnsi" w:cs="Arial"/>
          <w:bCs/>
          <w:sz w:val="26"/>
          <w:szCs w:val="26"/>
        </w:rPr>
        <w:tab/>
      </w:r>
    </w:p>
    <w:p w:rsidR="003F6E04" w:rsidRPr="003F6E04" w:rsidRDefault="003F6E04" w:rsidP="003F6E04">
      <w:pPr>
        <w:jc w:val="center"/>
        <w:rPr>
          <w:rFonts w:asciiTheme="minorHAnsi" w:hAnsiTheme="minorHAnsi" w:cs="Arial"/>
        </w:rPr>
      </w:pPr>
    </w:p>
    <w:p w:rsidR="003F6E04" w:rsidRPr="003F6E04" w:rsidRDefault="003F6E04" w:rsidP="003F6E04">
      <w:pPr>
        <w:rPr>
          <w:rFonts w:asciiTheme="minorHAnsi" w:hAnsiTheme="minorHAnsi" w:cs="Arial"/>
        </w:rPr>
      </w:pPr>
      <w:r w:rsidRPr="003F6E04">
        <w:rPr>
          <w:rFonts w:asciiTheme="minorHAnsi" w:hAnsiTheme="minorHAnsi" w:cs="Arial"/>
        </w:rPr>
        <w:t xml:space="preserve">Sir Gustav Nossal est un chercheur australien dont les travaux ont permis de construire les bases de l'immunologie moderne. On cherche à déterminer certaines caractéristiques cellulaires et moléculaires de la réponse immunitaire </w:t>
      </w:r>
    </w:p>
    <w:p w:rsidR="003F6E04" w:rsidRPr="003F6E04" w:rsidRDefault="003F6E04" w:rsidP="003F6E04">
      <w:pPr>
        <w:rPr>
          <w:rFonts w:asciiTheme="minorHAnsi" w:hAnsiTheme="minorHAnsi" w:cs="Arial"/>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0646"/>
      </w:tblGrid>
      <w:tr w:rsidR="003F6E04" w:rsidRPr="003F6E04" w:rsidTr="004F444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3F6E04" w:rsidRPr="003F6E04" w:rsidRDefault="003F6E04" w:rsidP="004F4442">
            <w:pPr>
              <w:rPr>
                <w:rFonts w:asciiTheme="minorHAnsi" w:hAnsiTheme="minorHAnsi" w:cs="Arial"/>
              </w:rPr>
            </w:pPr>
            <w:r w:rsidRPr="003F6E04">
              <w:rPr>
                <w:rFonts w:asciiTheme="minorHAnsi" w:hAnsiTheme="minorHAnsi" w:cs="Arial"/>
                <w:b/>
                <w:bCs/>
              </w:rPr>
              <w:t xml:space="preserve">À partir de l'analyse des résultats de l'expérience historique de Nossal, cocher la bonne réponse dans chaque série de propositions du QCM et remettre la feuille-réponse annexe avec la copie. </w:t>
            </w:r>
          </w:p>
        </w:tc>
      </w:tr>
    </w:tbl>
    <w:p w:rsidR="003F6E04" w:rsidRPr="003F6E04" w:rsidRDefault="003F6E04" w:rsidP="003F6E04">
      <w:pPr>
        <w:rPr>
          <w:rFonts w:asciiTheme="minorHAnsi" w:hAnsiTheme="minorHAnsi" w:cs="Arial"/>
        </w:rPr>
      </w:pPr>
      <w:r w:rsidRPr="003F6E04">
        <w:rPr>
          <w:rFonts w:asciiTheme="minorHAnsi" w:hAnsiTheme="minorHAnsi" w:cs="Arial"/>
        </w:rPr>
        <w:t> </w:t>
      </w:r>
    </w:p>
    <w:p w:rsidR="003F6E04" w:rsidRPr="003F6E04" w:rsidRDefault="003F6E04" w:rsidP="003F6E04">
      <w:pPr>
        <w:rPr>
          <w:rFonts w:asciiTheme="minorHAnsi" w:hAnsiTheme="minorHAnsi" w:cs="Arial"/>
          <w:i/>
          <w:iCs/>
        </w:rPr>
      </w:pPr>
      <w:r w:rsidRPr="003F6E04">
        <w:rPr>
          <w:rFonts w:asciiTheme="minorHAnsi" w:hAnsiTheme="minorHAnsi" w:cs="Arial"/>
          <w:b/>
          <w:bCs/>
          <w:u w:val="single"/>
        </w:rPr>
        <w:t>Document de référence</w:t>
      </w:r>
      <w:r w:rsidRPr="003F6E04">
        <w:rPr>
          <w:rFonts w:asciiTheme="minorHAnsi" w:hAnsiTheme="minorHAnsi" w:cs="Arial"/>
          <w:b/>
          <w:bCs/>
        </w:rPr>
        <w:t xml:space="preserve"> : la salmonelle, </w:t>
      </w:r>
      <w:r w:rsidRPr="003F6E04">
        <w:rPr>
          <w:rFonts w:asciiTheme="minorHAnsi" w:hAnsiTheme="minorHAnsi" w:cs="Arial"/>
          <w:i/>
          <w:iCs/>
        </w:rPr>
        <w:t xml:space="preserve">Salmonella typhimurium </w:t>
      </w:r>
    </w:p>
    <w:p w:rsidR="003E6B3A" w:rsidRDefault="00BD2B7D" w:rsidP="003E6B3A">
      <w:pPr>
        <w:ind w:firstLine="284"/>
        <w:jc w:val="both"/>
        <w:rPr>
          <w:rFonts w:asciiTheme="minorHAnsi" w:hAnsiTheme="minorHAnsi" w:cs="Arial"/>
        </w:rPr>
      </w:pPr>
      <w:r>
        <w:rPr>
          <w:rFonts w:asciiTheme="minorHAnsi" w:hAnsiTheme="minorHAnsi" w:cs="Arial"/>
          <w:noProof/>
        </w:rPr>
        <w:drawing>
          <wp:anchor distT="0" distB="0" distL="114300" distR="114300" simplePos="0" relativeHeight="251659264" behindDoc="0" locked="0" layoutInCell="1" allowOverlap="1">
            <wp:simplePos x="0" y="0"/>
            <wp:positionH relativeFrom="margin">
              <wp:posOffset>4352925</wp:posOffset>
            </wp:positionH>
            <wp:positionV relativeFrom="margin">
              <wp:posOffset>2659380</wp:posOffset>
            </wp:positionV>
            <wp:extent cx="2486025" cy="1590675"/>
            <wp:effectExtent l="19050" t="0" r="9525" b="0"/>
            <wp:wrapSquare wrapText="bothSides"/>
            <wp:docPr id="6" name="Image 1" descr="salmo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monelle"/>
                    <pic:cNvPicPr>
                      <a:picLocks noChangeAspect="1" noChangeArrowheads="1"/>
                    </pic:cNvPicPr>
                  </pic:nvPicPr>
                  <pic:blipFill>
                    <a:blip r:embed="rId7" cstate="print"/>
                    <a:srcRect/>
                    <a:stretch>
                      <a:fillRect/>
                    </a:stretch>
                  </pic:blipFill>
                  <pic:spPr bwMode="auto">
                    <a:xfrm>
                      <a:off x="0" y="0"/>
                      <a:ext cx="2486025" cy="1590675"/>
                    </a:xfrm>
                    <a:prstGeom prst="rect">
                      <a:avLst/>
                    </a:prstGeom>
                    <a:noFill/>
                    <a:ln w="9525">
                      <a:noFill/>
                      <a:miter lim="800000"/>
                      <a:headEnd/>
                      <a:tailEnd/>
                    </a:ln>
                  </pic:spPr>
                </pic:pic>
              </a:graphicData>
            </a:graphic>
          </wp:anchor>
        </w:drawing>
      </w:r>
      <w:r w:rsidR="003F6E04" w:rsidRPr="003F6E04">
        <w:rPr>
          <w:rFonts w:asciiTheme="minorHAnsi" w:hAnsiTheme="minorHAnsi" w:cs="Arial"/>
        </w:rPr>
        <w:t xml:space="preserve">Gustav Nossal cultive sur un milieu nutritif, des salmonelles de deux souches A et B, génétiquement différentes. </w:t>
      </w:r>
    </w:p>
    <w:p w:rsidR="003E6B3A" w:rsidRDefault="003F6E04" w:rsidP="003E6B3A">
      <w:pPr>
        <w:ind w:firstLine="284"/>
        <w:jc w:val="both"/>
        <w:rPr>
          <w:rFonts w:asciiTheme="minorHAnsi" w:hAnsiTheme="minorHAnsi" w:cs="Arial"/>
        </w:rPr>
      </w:pPr>
      <w:r w:rsidRPr="003F6E04">
        <w:rPr>
          <w:rFonts w:asciiTheme="minorHAnsi" w:hAnsiTheme="minorHAnsi" w:cs="Arial"/>
        </w:rPr>
        <w:t xml:space="preserve">Les salmonelles sont des bactéries mobiles car elles possèdent de nombreux flagelles (voir illustration ci-dessus). Chaque souche de salmonelle possède des antigènes qui lui sont spécifiques. Ces antigènes sont portés par les flagelles. </w:t>
      </w:r>
    </w:p>
    <w:p w:rsidR="003E6B3A" w:rsidRDefault="003F6E04" w:rsidP="003E6B3A">
      <w:pPr>
        <w:ind w:firstLine="284"/>
        <w:jc w:val="both"/>
        <w:rPr>
          <w:rFonts w:asciiTheme="minorHAnsi" w:hAnsiTheme="minorHAnsi" w:cs="Arial"/>
        </w:rPr>
      </w:pPr>
      <w:r w:rsidRPr="003F6E04">
        <w:rPr>
          <w:rFonts w:asciiTheme="minorHAnsi" w:hAnsiTheme="minorHAnsi" w:cs="Arial"/>
        </w:rPr>
        <w:t xml:space="preserve">Gustav Nossal injecte à une même souris des salmonelles provenant de deux souches différentes A et B. Quelques jours plus tard, il prélève des cellules immunitaires qui sont entrées en contact avec les souches A et B. </w:t>
      </w:r>
    </w:p>
    <w:p w:rsidR="003F6E04" w:rsidRPr="003F6E04" w:rsidRDefault="003F6E04" w:rsidP="003E6B3A">
      <w:pPr>
        <w:ind w:firstLine="284"/>
        <w:jc w:val="both"/>
        <w:rPr>
          <w:rFonts w:asciiTheme="minorHAnsi" w:hAnsiTheme="minorHAnsi" w:cs="Arial"/>
        </w:rPr>
      </w:pPr>
      <w:r w:rsidRPr="003F6E04">
        <w:rPr>
          <w:rFonts w:asciiTheme="minorHAnsi" w:hAnsiTheme="minorHAnsi" w:cs="Arial"/>
        </w:rPr>
        <w:t xml:space="preserve">Ensuite, il place une cellule immunitaire isolée et fonctionnelle dans chaque puits. </w:t>
      </w:r>
    </w:p>
    <w:p w:rsidR="003F6E04" w:rsidRPr="003F6E04" w:rsidRDefault="003F6E04" w:rsidP="003F6E04">
      <w:pPr>
        <w:rPr>
          <w:rFonts w:asciiTheme="minorHAnsi" w:hAnsiTheme="minorHAnsi" w:cs="Arial"/>
        </w:rPr>
      </w:pPr>
    </w:p>
    <w:p w:rsidR="003F6E04" w:rsidRPr="003F6E04" w:rsidRDefault="003F6E04" w:rsidP="003F6E04">
      <w:pPr>
        <w:rPr>
          <w:rFonts w:asciiTheme="minorHAnsi" w:hAnsiTheme="minorHAnsi" w:cs="Arial"/>
          <w:b/>
          <w:bCs/>
        </w:rPr>
      </w:pPr>
      <w:r w:rsidRPr="003F6E04">
        <w:rPr>
          <w:rFonts w:asciiTheme="minorHAnsi" w:hAnsiTheme="minorHAnsi" w:cs="Arial"/>
          <w:b/>
          <w:bCs/>
          <w:u w:val="single"/>
        </w:rPr>
        <w:t xml:space="preserve">Document </w:t>
      </w:r>
      <w:r w:rsidRPr="003F6E04">
        <w:rPr>
          <w:rFonts w:asciiTheme="minorHAnsi" w:hAnsiTheme="minorHAnsi" w:cs="Arial"/>
          <w:b/>
          <w:bCs/>
        </w:rPr>
        <w:t xml:space="preserve">: protocole et résultats de l'expérience de Nossal </w:t>
      </w:r>
    </w:p>
    <w:p w:rsidR="003F6E04" w:rsidRPr="003F6E04" w:rsidRDefault="003F6E04" w:rsidP="003F6E04">
      <w:pPr>
        <w:rPr>
          <w:rFonts w:asciiTheme="minorHAnsi" w:hAnsiTheme="minorHAnsi" w:cs="Arial"/>
        </w:rPr>
      </w:pPr>
    </w:p>
    <w:p w:rsidR="003F6E04" w:rsidRPr="003F6E04" w:rsidRDefault="003F6E04" w:rsidP="003F6E04">
      <w:pPr>
        <w:rPr>
          <w:rFonts w:asciiTheme="minorHAnsi" w:hAnsiTheme="minorHAnsi" w:cs="Arial"/>
        </w:rPr>
      </w:pPr>
      <w:r w:rsidRPr="003F6E04">
        <w:rPr>
          <w:rFonts w:asciiTheme="minorHAnsi" w:hAnsiTheme="minorHAnsi" w:cs="Arial"/>
          <w:b/>
          <w:bCs/>
        </w:rPr>
        <w:t>Étape numéro 1</w:t>
      </w:r>
      <w:r w:rsidRPr="003F6E04">
        <w:rPr>
          <w:rFonts w:asciiTheme="minorHAnsi" w:hAnsiTheme="minorHAnsi" w:cs="Arial"/>
        </w:rPr>
        <w:t xml:space="preserve"> : Gustav Nossal ajoute ensuite cinq à six bactéries de la souche A dans chacun des quatre micropuits et les observe au microscope. </w:t>
      </w:r>
    </w:p>
    <w:p w:rsidR="003F6E04" w:rsidRDefault="003F6E04" w:rsidP="003F6E04">
      <w:pPr>
        <w:jc w:val="center"/>
        <w:rPr>
          <w:rFonts w:asciiTheme="minorHAnsi" w:hAnsiTheme="minorHAnsi" w:cs="Arial"/>
        </w:rPr>
      </w:pPr>
      <w:r w:rsidRPr="003F6E04">
        <w:rPr>
          <w:rFonts w:asciiTheme="minorHAnsi" w:hAnsiTheme="minorHAnsi" w:cs="Arial"/>
          <w:noProof/>
        </w:rPr>
        <w:drawing>
          <wp:inline distT="0" distB="0" distL="0" distR="0">
            <wp:extent cx="4070072" cy="1260000"/>
            <wp:effectExtent l="19050" t="0" r="6628" b="0"/>
            <wp:docPr id="5" name="Image 2" descr="ex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1"/>
                    <pic:cNvPicPr>
                      <a:picLocks noChangeAspect="1" noChangeArrowheads="1"/>
                    </pic:cNvPicPr>
                  </pic:nvPicPr>
                  <pic:blipFill>
                    <a:blip r:embed="rId8" cstate="print"/>
                    <a:srcRect/>
                    <a:stretch>
                      <a:fillRect/>
                    </a:stretch>
                  </pic:blipFill>
                  <pic:spPr bwMode="auto">
                    <a:xfrm>
                      <a:off x="0" y="0"/>
                      <a:ext cx="4070072" cy="1260000"/>
                    </a:xfrm>
                    <a:prstGeom prst="rect">
                      <a:avLst/>
                    </a:prstGeom>
                    <a:noFill/>
                    <a:ln w="9525">
                      <a:noFill/>
                      <a:miter lim="800000"/>
                      <a:headEnd/>
                      <a:tailEnd/>
                    </a:ln>
                  </pic:spPr>
                </pic:pic>
              </a:graphicData>
            </a:graphic>
          </wp:inline>
        </w:drawing>
      </w:r>
    </w:p>
    <w:p w:rsidR="003E6B3A" w:rsidRPr="003F6E04" w:rsidRDefault="003E6B3A" w:rsidP="003F6E04">
      <w:pPr>
        <w:jc w:val="center"/>
        <w:rPr>
          <w:rFonts w:asciiTheme="minorHAnsi" w:hAnsiTheme="minorHAnsi" w:cs="Arial"/>
        </w:rPr>
      </w:pPr>
    </w:p>
    <w:p w:rsidR="003F6E04" w:rsidRPr="003F6E04" w:rsidRDefault="003F6E04" w:rsidP="003F6E04">
      <w:pPr>
        <w:rPr>
          <w:rFonts w:asciiTheme="minorHAnsi" w:hAnsiTheme="minorHAnsi" w:cs="Arial"/>
        </w:rPr>
      </w:pPr>
      <w:r w:rsidRPr="003F6E04">
        <w:rPr>
          <w:rFonts w:asciiTheme="minorHAnsi" w:hAnsiTheme="minorHAnsi" w:cs="Arial"/>
          <w:b/>
          <w:bCs/>
        </w:rPr>
        <w:t>Étape numéro 2</w:t>
      </w:r>
      <w:r w:rsidRPr="003F6E04">
        <w:rPr>
          <w:rFonts w:asciiTheme="minorHAnsi" w:hAnsiTheme="minorHAnsi" w:cs="Arial"/>
        </w:rPr>
        <w:t xml:space="preserve"> : Une heure plus tard, on constate qu'à l'intérieur du micropuits « b » et du micropuits « d », bien que n'établissant aucun contact membranaire avec la cellule immunitaire prélevée, les bactéries de souche A introduites, sont immobilisées. De plus, on observe que leurs flagelles se trouvent recouverts </w:t>
      </w:r>
      <w:r w:rsidRPr="003F6E04">
        <w:rPr>
          <w:rFonts w:asciiTheme="minorHAnsi" w:hAnsiTheme="minorHAnsi" w:cs="Arial"/>
        </w:rPr>
        <w:lastRenderedPageBreak/>
        <w:t xml:space="preserve">d'anticorps* (immunoglobulines), empêchant ainsi tout mouvement. Par contre à l'intérieur du micropuits « a » et du micropuits « c », les salmonelles de souche A qui ont été introduites, restent quant à elles mobiles. </w:t>
      </w:r>
    </w:p>
    <w:p w:rsidR="00B41230" w:rsidRPr="00E55C3A" w:rsidRDefault="003F6E04" w:rsidP="00E55C3A">
      <w:pPr>
        <w:jc w:val="center"/>
        <w:rPr>
          <w:rFonts w:asciiTheme="minorHAnsi" w:hAnsiTheme="minorHAnsi" w:cs="Arial"/>
        </w:rPr>
      </w:pPr>
      <w:r w:rsidRPr="003F6E04">
        <w:rPr>
          <w:rFonts w:asciiTheme="minorHAnsi" w:hAnsiTheme="minorHAnsi" w:cs="Arial"/>
          <w:noProof/>
        </w:rPr>
        <w:drawing>
          <wp:inline distT="0" distB="0" distL="0" distR="0">
            <wp:extent cx="4830000" cy="1260000"/>
            <wp:effectExtent l="19050" t="0" r="8700" b="0"/>
            <wp:docPr id="3" name="Image 3" descr="ex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2"/>
                    <pic:cNvPicPr>
                      <a:picLocks noChangeAspect="1" noChangeArrowheads="1"/>
                    </pic:cNvPicPr>
                  </pic:nvPicPr>
                  <pic:blipFill>
                    <a:blip r:embed="rId9" cstate="print"/>
                    <a:srcRect/>
                    <a:stretch>
                      <a:fillRect/>
                    </a:stretch>
                  </pic:blipFill>
                  <pic:spPr bwMode="auto">
                    <a:xfrm>
                      <a:off x="0" y="0"/>
                      <a:ext cx="4830000" cy="1260000"/>
                    </a:xfrm>
                    <a:prstGeom prst="rect">
                      <a:avLst/>
                    </a:prstGeom>
                    <a:noFill/>
                    <a:ln w="9525">
                      <a:noFill/>
                      <a:miter lim="800000"/>
                      <a:headEnd/>
                      <a:tailEnd/>
                    </a:ln>
                  </pic:spPr>
                </pic:pic>
              </a:graphicData>
            </a:graphic>
          </wp:inline>
        </w:drawing>
      </w:r>
    </w:p>
    <w:p w:rsidR="003F6E04" w:rsidRPr="003F6E04" w:rsidRDefault="003F6E04" w:rsidP="003F6E04">
      <w:pPr>
        <w:rPr>
          <w:rFonts w:asciiTheme="minorHAnsi" w:hAnsiTheme="minorHAnsi" w:cs="Arial"/>
        </w:rPr>
      </w:pPr>
      <w:r w:rsidRPr="003F6E04">
        <w:rPr>
          <w:rFonts w:asciiTheme="minorHAnsi" w:hAnsiTheme="minorHAnsi" w:cs="Arial"/>
          <w:b/>
          <w:bCs/>
        </w:rPr>
        <w:t>Étape numéro 3</w:t>
      </w:r>
      <w:r w:rsidRPr="003F6E04">
        <w:rPr>
          <w:rFonts w:asciiTheme="minorHAnsi" w:hAnsiTheme="minorHAnsi" w:cs="Arial"/>
        </w:rPr>
        <w:t xml:space="preserve"> : Gustav Nossal introduit ensuite, uniquement dans les micropuits « b » et « d », des bactéries de souche B cette fois-ci. Comme le montrent les résultats de l'expérience au bout d'une heure, dans ces deux micropuits « b » et « d », alors que toutes les bactéries de souche A sont toujours immobilisées, les bactéries de souche B restent quant à elles mobiles. </w:t>
      </w:r>
    </w:p>
    <w:p w:rsidR="003F6E04" w:rsidRPr="003F6E04" w:rsidRDefault="003F6E04" w:rsidP="003F6E04">
      <w:pPr>
        <w:jc w:val="center"/>
        <w:rPr>
          <w:rFonts w:asciiTheme="minorHAnsi" w:hAnsiTheme="minorHAnsi" w:cs="Arial"/>
        </w:rPr>
      </w:pPr>
      <w:r w:rsidRPr="003F6E04">
        <w:rPr>
          <w:rFonts w:asciiTheme="minorHAnsi" w:hAnsiTheme="minorHAnsi" w:cs="Arial"/>
          <w:noProof/>
        </w:rPr>
        <w:drawing>
          <wp:inline distT="0" distB="0" distL="0" distR="0">
            <wp:extent cx="4571538" cy="1260000"/>
            <wp:effectExtent l="19050" t="0" r="462" b="0"/>
            <wp:docPr id="4" name="Image 4" descr="ex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3"/>
                    <pic:cNvPicPr>
                      <a:picLocks noChangeAspect="1" noChangeArrowheads="1"/>
                    </pic:cNvPicPr>
                  </pic:nvPicPr>
                  <pic:blipFill>
                    <a:blip r:embed="rId10" cstate="print"/>
                    <a:srcRect/>
                    <a:stretch>
                      <a:fillRect/>
                    </a:stretch>
                  </pic:blipFill>
                  <pic:spPr bwMode="auto">
                    <a:xfrm>
                      <a:off x="0" y="0"/>
                      <a:ext cx="4571538" cy="1260000"/>
                    </a:xfrm>
                    <a:prstGeom prst="rect">
                      <a:avLst/>
                    </a:prstGeom>
                    <a:noFill/>
                    <a:ln w="9525">
                      <a:noFill/>
                      <a:miter lim="800000"/>
                      <a:headEnd/>
                      <a:tailEnd/>
                    </a:ln>
                  </pic:spPr>
                </pic:pic>
              </a:graphicData>
            </a:graphic>
          </wp:inline>
        </w:drawing>
      </w:r>
    </w:p>
    <w:p w:rsidR="003F6E04" w:rsidRPr="003E6B3A" w:rsidRDefault="003F6E04" w:rsidP="003F6E04">
      <w:pPr>
        <w:rPr>
          <w:rFonts w:asciiTheme="minorHAnsi" w:hAnsiTheme="minorHAnsi" w:cs="Arial"/>
          <w:b/>
          <w:bCs/>
          <w:sz w:val="8"/>
          <w:szCs w:val="8"/>
        </w:rPr>
      </w:pPr>
    </w:p>
    <w:p w:rsidR="003F6E04" w:rsidRPr="003F6E04" w:rsidRDefault="003F6E04" w:rsidP="003F6E04">
      <w:pPr>
        <w:rPr>
          <w:rFonts w:asciiTheme="minorHAnsi" w:hAnsiTheme="minorHAnsi" w:cs="Arial"/>
        </w:rPr>
      </w:pPr>
      <w:r w:rsidRPr="003F6E04">
        <w:rPr>
          <w:rFonts w:asciiTheme="minorHAnsi" w:hAnsiTheme="minorHAnsi" w:cs="Arial"/>
          <w:b/>
          <w:bCs/>
        </w:rPr>
        <w:t>* Anticorps</w:t>
      </w:r>
      <w:r w:rsidRPr="003F6E04">
        <w:rPr>
          <w:rFonts w:asciiTheme="minorHAnsi" w:hAnsiTheme="minorHAnsi" w:cs="Arial"/>
        </w:rPr>
        <w:t xml:space="preserve"> = molécules produites par certaines cellules immunitaires en présence d'antigènes. </w:t>
      </w:r>
    </w:p>
    <w:p w:rsidR="003F6E04" w:rsidRPr="003F6E04" w:rsidRDefault="003F6E04" w:rsidP="003F6E04">
      <w:pPr>
        <w:rPr>
          <w:rFonts w:asciiTheme="minorHAnsi" w:hAnsiTheme="minorHAnsi" w:cs="Arial"/>
        </w:rPr>
      </w:pPr>
      <w:r w:rsidRPr="003F6E04">
        <w:rPr>
          <w:rFonts w:asciiTheme="minorHAnsi" w:hAnsiTheme="minorHAnsi" w:cs="Arial"/>
        </w:rPr>
        <w:t> </w:t>
      </w:r>
    </w:p>
    <w:p w:rsidR="003F6E04" w:rsidRPr="003F6E04" w:rsidRDefault="003F6E04" w:rsidP="003F6E04">
      <w:pPr>
        <w:rPr>
          <w:rFonts w:asciiTheme="minorHAnsi" w:hAnsiTheme="minorHAnsi" w:cs="Arial"/>
        </w:rPr>
      </w:pPr>
    </w:p>
    <w:p w:rsidR="003F6E04" w:rsidRPr="003F6E04" w:rsidRDefault="003F6E04" w:rsidP="003F6E04">
      <w:pPr>
        <w:jc w:val="center"/>
        <w:rPr>
          <w:rFonts w:asciiTheme="minorHAnsi" w:hAnsiTheme="minorHAnsi" w:cs="Arial"/>
        </w:rPr>
      </w:pPr>
      <w:r w:rsidRPr="003F6E04">
        <w:rPr>
          <w:rFonts w:asciiTheme="minorHAnsi" w:hAnsiTheme="minorHAnsi" w:cs="Arial"/>
          <w:b/>
          <w:bCs/>
        </w:rPr>
        <w:t>Fiche-réponse</w:t>
      </w:r>
      <w:r w:rsidR="003E6B3A">
        <w:rPr>
          <w:rFonts w:asciiTheme="minorHAnsi" w:hAnsiTheme="minorHAnsi" w:cs="Arial"/>
          <w:b/>
          <w:bCs/>
        </w:rPr>
        <w:t xml:space="preserve"> </w:t>
      </w:r>
      <w:r w:rsidRPr="003F6E04">
        <w:rPr>
          <w:rFonts w:asciiTheme="minorHAnsi" w:hAnsiTheme="minorHAnsi" w:cs="Arial"/>
        </w:rPr>
        <w:t xml:space="preserve">(Annexe à rendre avec la copie) </w:t>
      </w:r>
    </w:p>
    <w:p w:rsidR="003F6E04" w:rsidRPr="003F6E04" w:rsidRDefault="003F6E04" w:rsidP="003F6E04">
      <w:pPr>
        <w:jc w:val="center"/>
        <w:rPr>
          <w:rFonts w:asciiTheme="minorHAnsi" w:hAnsiTheme="minorHAnsi" w:cs="Arial"/>
        </w:rPr>
      </w:pPr>
    </w:p>
    <w:p w:rsidR="003F6E04" w:rsidRPr="003F6E04" w:rsidRDefault="003F6E04" w:rsidP="003F6E04">
      <w:pPr>
        <w:rPr>
          <w:rFonts w:asciiTheme="minorHAnsi" w:hAnsiTheme="minorHAnsi" w:cs="Arial"/>
        </w:rPr>
      </w:pPr>
      <w:r w:rsidRPr="003F6E04">
        <w:rPr>
          <w:rFonts w:asciiTheme="minorHAnsi" w:hAnsiTheme="minorHAnsi" w:cs="Arial"/>
          <w:b/>
          <w:bCs/>
        </w:rPr>
        <w:t xml:space="preserve">QCM : A partir des informations extraites des documents, cocher la bonne réponse pour chaque série de propositions. </w:t>
      </w:r>
    </w:p>
    <w:p w:rsidR="003F6E04" w:rsidRPr="003E6B3A" w:rsidRDefault="003F6E04" w:rsidP="003F6E04">
      <w:pPr>
        <w:rPr>
          <w:rFonts w:asciiTheme="minorHAnsi" w:hAnsiTheme="minorHAnsi" w:cs="Arial"/>
          <w:sz w:val="12"/>
          <w:szCs w:val="12"/>
        </w:rPr>
      </w:pPr>
      <w:r w:rsidRPr="003E6B3A">
        <w:rPr>
          <w:rFonts w:asciiTheme="minorHAnsi" w:hAnsiTheme="minorHAnsi" w:cs="Arial"/>
          <w:sz w:val="12"/>
          <w:szCs w:val="12"/>
        </w:rPr>
        <w:t> </w:t>
      </w:r>
    </w:p>
    <w:p w:rsidR="003E6B3A" w:rsidRPr="003E6B3A" w:rsidRDefault="003F6E04" w:rsidP="003F6E04">
      <w:pPr>
        <w:rPr>
          <w:rFonts w:asciiTheme="minorHAnsi" w:hAnsiTheme="minorHAnsi" w:cs="Arial"/>
          <w:b/>
          <w:bCs/>
          <w:sz w:val="22"/>
          <w:szCs w:val="22"/>
        </w:rPr>
      </w:pPr>
      <w:r w:rsidRPr="003E6B3A">
        <w:rPr>
          <w:rFonts w:asciiTheme="minorHAnsi" w:hAnsiTheme="minorHAnsi" w:cs="Arial"/>
          <w:b/>
          <w:bCs/>
          <w:sz w:val="22"/>
          <w:szCs w:val="22"/>
        </w:rPr>
        <w:t xml:space="preserve">1. Dans l'étape numéro 2, l'immobilité des bactéries observée dans le micropuits « b » peut s'expliquer par l'action des anticorps </w:t>
      </w:r>
    </w:p>
    <w:p w:rsidR="003E6B3A"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produits par les cellules immunitaires prélevées </w:t>
      </w:r>
    </w:p>
    <w:p w:rsidR="003E6B3A"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produits par les salmonelles de souche A </w:t>
      </w:r>
    </w:p>
    <w:p w:rsidR="003E6B3A"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produits par les salmonelles de souche B </w:t>
      </w:r>
    </w:p>
    <w:p w:rsidR="003F6E04"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introduits par Gustav Nossal lors de l'étape numéro 1 </w:t>
      </w:r>
    </w:p>
    <w:p w:rsidR="003E6B3A" w:rsidRPr="003E6B3A" w:rsidRDefault="003E6B3A" w:rsidP="003E6B3A">
      <w:pPr>
        <w:rPr>
          <w:rFonts w:asciiTheme="minorHAnsi" w:hAnsiTheme="minorHAnsi" w:cs="Arial"/>
          <w:sz w:val="12"/>
          <w:szCs w:val="12"/>
        </w:rPr>
      </w:pPr>
      <w:r w:rsidRPr="003E6B3A">
        <w:rPr>
          <w:rFonts w:asciiTheme="minorHAnsi" w:hAnsiTheme="minorHAnsi" w:cs="Arial"/>
          <w:sz w:val="12"/>
          <w:szCs w:val="12"/>
        </w:rPr>
        <w:t> </w:t>
      </w:r>
    </w:p>
    <w:p w:rsidR="00D00B0F" w:rsidRDefault="003F6E04" w:rsidP="003F6E04">
      <w:pPr>
        <w:rPr>
          <w:rFonts w:asciiTheme="minorHAnsi" w:hAnsiTheme="minorHAnsi" w:cs="Arial"/>
          <w:b/>
          <w:bCs/>
          <w:sz w:val="22"/>
          <w:szCs w:val="22"/>
        </w:rPr>
      </w:pPr>
      <w:r w:rsidRPr="003E6B3A">
        <w:rPr>
          <w:rFonts w:asciiTheme="minorHAnsi" w:hAnsiTheme="minorHAnsi" w:cs="Arial"/>
          <w:b/>
          <w:bCs/>
          <w:sz w:val="22"/>
          <w:szCs w:val="22"/>
        </w:rPr>
        <w:t xml:space="preserve">2. L'origine et le mode d'action des anticorps étant connus, on peut dire que </w:t>
      </w:r>
    </w:p>
    <w:p w:rsidR="003E6B3A"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dans l'étape 2, le micropuits « b » contient uniquement des anticorps dirigés contre les cellules immunitaires </w:t>
      </w:r>
    </w:p>
    <w:p w:rsidR="003E6B3A"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dans l'étape 2, le micropuits « d » contient uniquement des anticorps dirigés contre les salmonelles de souche B </w:t>
      </w:r>
    </w:p>
    <w:p w:rsidR="003E6B3A"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dans l'étape 3, le micropuits « b » contient uniquement des anticorps dirigés contre les salmonelles de souche A </w:t>
      </w:r>
    </w:p>
    <w:p w:rsidR="003F6E04"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dans l'étape 3, le micropuits « d » ne contient aucun anticorps </w:t>
      </w:r>
    </w:p>
    <w:p w:rsidR="003E6B3A" w:rsidRPr="003E6B3A" w:rsidRDefault="003E6B3A" w:rsidP="003E6B3A">
      <w:pPr>
        <w:rPr>
          <w:rFonts w:asciiTheme="minorHAnsi" w:hAnsiTheme="minorHAnsi" w:cs="Arial"/>
          <w:sz w:val="12"/>
          <w:szCs w:val="12"/>
        </w:rPr>
      </w:pPr>
      <w:r w:rsidRPr="003E6B3A">
        <w:rPr>
          <w:rFonts w:asciiTheme="minorHAnsi" w:hAnsiTheme="minorHAnsi" w:cs="Arial"/>
          <w:sz w:val="12"/>
          <w:szCs w:val="12"/>
        </w:rPr>
        <w:t> </w:t>
      </w:r>
    </w:p>
    <w:p w:rsidR="00D00B0F" w:rsidRDefault="003F6E04" w:rsidP="003F6E04">
      <w:pPr>
        <w:rPr>
          <w:rFonts w:asciiTheme="minorHAnsi" w:hAnsiTheme="minorHAnsi" w:cs="Arial"/>
          <w:b/>
          <w:bCs/>
          <w:sz w:val="22"/>
          <w:szCs w:val="22"/>
        </w:rPr>
      </w:pPr>
      <w:r w:rsidRPr="003E6B3A">
        <w:rPr>
          <w:rFonts w:asciiTheme="minorHAnsi" w:hAnsiTheme="minorHAnsi" w:cs="Arial"/>
          <w:b/>
          <w:bCs/>
          <w:sz w:val="22"/>
          <w:szCs w:val="22"/>
        </w:rPr>
        <w:t xml:space="preserve">3. L'action spécifique des anticorps peut être montrée en comparant les </w:t>
      </w:r>
      <w:r w:rsidR="003E6B3A" w:rsidRPr="003E6B3A">
        <w:rPr>
          <w:rFonts w:asciiTheme="minorHAnsi" w:hAnsiTheme="minorHAnsi" w:cs="Arial"/>
          <w:b/>
          <w:sz w:val="22"/>
          <w:szCs w:val="22"/>
        </w:rPr>
        <w:t>micropuits</w:t>
      </w:r>
      <w:r w:rsidRPr="003E6B3A">
        <w:rPr>
          <w:rFonts w:asciiTheme="minorHAnsi" w:hAnsiTheme="minorHAnsi" w:cs="Arial"/>
          <w:b/>
          <w:bCs/>
          <w:sz w:val="22"/>
          <w:szCs w:val="22"/>
        </w:rPr>
        <w:t xml:space="preserve"> </w:t>
      </w:r>
    </w:p>
    <w:p w:rsidR="003E6B3A"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étape 2 micropuits « a » et étape 3 micropuits « a » </w:t>
      </w:r>
    </w:p>
    <w:p w:rsidR="003E6B3A"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étape 2 micropuits « b » et étape 3 micropuits « b » </w:t>
      </w:r>
    </w:p>
    <w:p w:rsidR="003E6B3A"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étape 2 </w:t>
      </w:r>
      <w:r w:rsidR="003E6B3A" w:rsidRPr="003E6B3A">
        <w:rPr>
          <w:rFonts w:asciiTheme="minorHAnsi" w:hAnsiTheme="minorHAnsi" w:cs="Arial"/>
          <w:sz w:val="22"/>
          <w:szCs w:val="22"/>
        </w:rPr>
        <w:t>micropuits</w:t>
      </w:r>
      <w:r w:rsidRPr="003E6B3A">
        <w:rPr>
          <w:rFonts w:asciiTheme="minorHAnsi" w:hAnsiTheme="minorHAnsi" w:cs="Arial"/>
          <w:sz w:val="22"/>
          <w:szCs w:val="22"/>
        </w:rPr>
        <w:t xml:space="preserve"> « c » et étape 3 </w:t>
      </w:r>
      <w:r w:rsidR="003E6B3A" w:rsidRPr="003E6B3A">
        <w:rPr>
          <w:rFonts w:asciiTheme="minorHAnsi" w:hAnsiTheme="minorHAnsi" w:cs="Arial"/>
          <w:sz w:val="22"/>
          <w:szCs w:val="22"/>
        </w:rPr>
        <w:t>micropuits</w:t>
      </w:r>
      <w:r w:rsidRPr="003E6B3A">
        <w:rPr>
          <w:rFonts w:asciiTheme="minorHAnsi" w:hAnsiTheme="minorHAnsi" w:cs="Arial"/>
          <w:sz w:val="22"/>
          <w:szCs w:val="22"/>
        </w:rPr>
        <w:t xml:space="preserve"> « c » </w:t>
      </w:r>
    </w:p>
    <w:p w:rsidR="003F6E04"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étape 2 </w:t>
      </w:r>
      <w:r w:rsidR="003E6B3A" w:rsidRPr="003E6B3A">
        <w:rPr>
          <w:rFonts w:asciiTheme="minorHAnsi" w:hAnsiTheme="minorHAnsi" w:cs="Arial"/>
          <w:sz w:val="22"/>
          <w:szCs w:val="22"/>
        </w:rPr>
        <w:t xml:space="preserve">micropuits </w:t>
      </w:r>
      <w:r w:rsidRPr="003E6B3A">
        <w:rPr>
          <w:rFonts w:asciiTheme="minorHAnsi" w:hAnsiTheme="minorHAnsi" w:cs="Arial"/>
          <w:sz w:val="22"/>
          <w:szCs w:val="22"/>
        </w:rPr>
        <w:t xml:space="preserve">« a » et étape 3 </w:t>
      </w:r>
      <w:r w:rsidR="003E6B3A" w:rsidRPr="003E6B3A">
        <w:rPr>
          <w:rFonts w:asciiTheme="minorHAnsi" w:hAnsiTheme="minorHAnsi" w:cs="Arial"/>
          <w:sz w:val="22"/>
          <w:szCs w:val="22"/>
        </w:rPr>
        <w:t>micropuits</w:t>
      </w:r>
      <w:r w:rsidRPr="003E6B3A">
        <w:rPr>
          <w:rFonts w:asciiTheme="minorHAnsi" w:hAnsiTheme="minorHAnsi" w:cs="Arial"/>
          <w:sz w:val="22"/>
          <w:szCs w:val="22"/>
        </w:rPr>
        <w:t xml:space="preserve"> « d » </w:t>
      </w:r>
    </w:p>
    <w:p w:rsidR="003E6B3A" w:rsidRPr="003E6B3A" w:rsidRDefault="003E6B3A" w:rsidP="003E6B3A">
      <w:pPr>
        <w:rPr>
          <w:rFonts w:asciiTheme="minorHAnsi" w:hAnsiTheme="minorHAnsi" w:cs="Arial"/>
          <w:sz w:val="12"/>
          <w:szCs w:val="12"/>
        </w:rPr>
      </w:pPr>
      <w:r w:rsidRPr="003E6B3A">
        <w:rPr>
          <w:rFonts w:asciiTheme="minorHAnsi" w:hAnsiTheme="minorHAnsi" w:cs="Arial"/>
          <w:sz w:val="12"/>
          <w:szCs w:val="12"/>
        </w:rPr>
        <w:t> </w:t>
      </w:r>
    </w:p>
    <w:p w:rsidR="003E6B3A" w:rsidRDefault="003F6E04" w:rsidP="003F6E04">
      <w:pPr>
        <w:rPr>
          <w:rFonts w:asciiTheme="minorHAnsi" w:hAnsiTheme="minorHAnsi" w:cs="Arial"/>
          <w:b/>
          <w:bCs/>
          <w:sz w:val="22"/>
          <w:szCs w:val="22"/>
        </w:rPr>
      </w:pPr>
      <w:r w:rsidRPr="003E6B3A">
        <w:rPr>
          <w:rFonts w:asciiTheme="minorHAnsi" w:hAnsiTheme="minorHAnsi" w:cs="Arial"/>
          <w:b/>
          <w:bCs/>
          <w:sz w:val="22"/>
          <w:szCs w:val="22"/>
        </w:rPr>
        <w:t xml:space="preserve">4. Les résultats de cette expérience permettent de déduire que la cellule prélevée par Gustav Nossal dans les ganglions lymphatiques de la souris et placée dans le puits « d » était </w:t>
      </w:r>
    </w:p>
    <w:p w:rsidR="003E6B3A"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un macrophage </w:t>
      </w:r>
    </w:p>
    <w:p w:rsidR="003E6B3A"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un lymphocyte T cytotoxique </w:t>
      </w:r>
    </w:p>
    <w:p w:rsidR="003E6B3A"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un plasmocyte sécréteur d'anticorps dirigés contre les salmonelles de type A </w:t>
      </w:r>
    </w:p>
    <w:p w:rsidR="003F6E04" w:rsidRPr="003E6B3A" w:rsidRDefault="003F6E04" w:rsidP="003F6E04">
      <w:pPr>
        <w:rPr>
          <w:rFonts w:asciiTheme="minorHAnsi" w:hAnsiTheme="minorHAnsi" w:cs="Arial"/>
          <w:sz w:val="22"/>
          <w:szCs w:val="22"/>
        </w:rPr>
      </w:pPr>
      <w:r w:rsidRPr="003E6B3A">
        <w:rPr>
          <w:rFonts w:ascii="Segoe UI Symbol" w:hAnsi="Segoe UI Symbol" w:cs="Segoe UI Symbol"/>
          <w:sz w:val="22"/>
          <w:szCs w:val="22"/>
        </w:rPr>
        <w:t>☐</w:t>
      </w:r>
      <w:r w:rsidRPr="003E6B3A">
        <w:rPr>
          <w:rFonts w:asciiTheme="minorHAnsi" w:hAnsiTheme="minorHAnsi" w:cs="Arial"/>
          <w:sz w:val="22"/>
          <w:szCs w:val="22"/>
        </w:rPr>
        <w:t xml:space="preserve"> un plasmocyte sécréteur d'anticorps dirigés contre les salmonelles de type B </w:t>
      </w:r>
    </w:p>
    <w:p w:rsidR="00B41230" w:rsidRDefault="003F6E04" w:rsidP="003E6B3A">
      <w:pPr>
        <w:rPr>
          <w:rFonts w:asciiTheme="minorHAnsi" w:hAnsiTheme="minorHAnsi" w:cs="Arial"/>
        </w:rPr>
      </w:pPr>
      <w:r w:rsidRPr="003F6E04">
        <w:rPr>
          <w:rFonts w:asciiTheme="minorHAnsi" w:hAnsiTheme="minorHAnsi" w:cs="Arial"/>
        </w:rPr>
        <w:t> </w:t>
      </w:r>
    </w:p>
    <w:p w:rsidR="00975085" w:rsidRPr="00E55C3A" w:rsidRDefault="00B41230" w:rsidP="00E55C3A">
      <w:pPr>
        <w:spacing w:after="200" w:line="276" w:lineRule="auto"/>
        <w:rPr>
          <w:rFonts w:asciiTheme="minorHAnsi" w:hAnsiTheme="minorHAnsi" w:cs="Arial"/>
        </w:rPr>
      </w:pPr>
      <w:r>
        <w:rPr>
          <w:rFonts w:asciiTheme="minorHAnsi" w:hAnsiTheme="minorHAnsi" w:cs="Arial"/>
        </w:rPr>
        <w:br w:type="page"/>
      </w:r>
      <w:r w:rsidR="00975085" w:rsidRPr="00975085">
        <w:lastRenderedPageBreak/>
        <w:t> </w:t>
      </w:r>
      <w:r w:rsidR="00975085" w:rsidRPr="003F6E04">
        <w:rPr>
          <w:rFonts w:asciiTheme="minorHAnsi" w:hAnsiTheme="minorHAnsi" w:cs="Arial"/>
        </w:rPr>
        <w:t> </w:t>
      </w:r>
      <w:r w:rsidR="00E55C3A">
        <w:rPr>
          <w:rFonts w:asciiTheme="minorHAnsi" w:hAnsiTheme="minorHAnsi" w:cs="Arial"/>
        </w:rPr>
        <w:t>Exercice 2</w:t>
      </w:r>
      <w:bookmarkStart w:id="0" w:name="_GoBack"/>
      <w:bookmarkEnd w:id="0"/>
      <w:r w:rsidR="00975085">
        <w:rPr>
          <w:rFonts w:asciiTheme="minorHAnsi" w:hAnsiTheme="minorHAnsi"/>
          <w:b/>
          <w:sz w:val="26"/>
          <w:szCs w:val="26"/>
        </w:rPr>
        <w:t>–</w:t>
      </w:r>
      <w:r w:rsidR="00975085" w:rsidRPr="00B41230">
        <w:rPr>
          <w:rFonts w:asciiTheme="minorHAnsi" w:hAnsiTheme="minorHAnsi" w:cs="Arial"/>
          <w:bCs/>
          <w:szCs w:val="20"/>
        </w:rPr>
        <w:t>Metropole 2015</w:t>
      </w:r>
    </w:p>
    <w:p w:rsidR="00975085" w:rsidRDefault="00975085" w:rsidP="00975085">
      <w:pPr>
        <w:pStyle w:val="Sansinterligne"/>
      </w:pPr>
    </w:p>
    <w:p w:rsidR="00975085" w:rsidRDefault="00975085" w:rsidP="00975085">
      <w:pPr>
        <w:pStyle w:val="Sansinterligne"/>
      </w:pPr>
      <w:r w:rsidRPr="00975085">
        <w:t>Mme T présente une grosseur au niveau du cou et souffre de nombreux maux d’origine métabolique : fatigue, cheveux et ongles cassants, peau sèche, frilosité, rythme cardiaque ralenti. Son médecin lui prescrit des examens approfondis.</w:t>
      </w:r>
    </w:p>
    <w:p w:rsidR="00975085" w:rsidRPr="00975085" w:rsidRDefault="00975085" w:rsidP="00975085">
      <w:pPr>
        <w:pStyle w:val="Sansinterligne"/>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646"/>
      </w:tblGrid>
      <w:tr w:rsidR="00975085" w:rsidRPr="00975085" w:rsidTr="009750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75085" w:rsidRPr="00975085" w:rsidRDefault="00975085" w:rsidP="00975085">
            <w:pPr>
              <w:pStyle w:val="Sansinterligne"/>
              <w:rPr>
                <w:szCs w:val="24"/>
              </w:rPr>
            </w:pPr>
            <w:r w:rsidRPr="00975085">
              <w:rPr>
                <w:b/>
                <w:bCs/>
              </w:rPr>
              <w:t>À partir de l’exploitation des données et de l’utilisation des connaissances, expliquer les causes de l’affection de Mme T.</w:t>
            </w:r>
          </w:p>
        </w:tc>
      </w:tr>
    </w:tbl>
    <w:p w:rsidR="00975085" w:rsidRPr="00975085" w:rsidRDefault="00975085" w:rsidP="00975085">
      <w:pPr>
        <w:pStyle w:val="Sansinterligne"/>
      </w:pPr>
      <w:r w:rsidRPr="00975085">
        <w:t> </w:t>
      </w:r>
    </w:p>
    <w:p w:rsidR="00975085" w:rsidRPr="00975085" w:rsidRDefault="00975085" w:rsidP="00975085">
      <w:pPr>
        <w:pStyle w:val="Sansinterligne"/>
      </w:pPr>
      <w:r w:rsidRPr="00975085">
        <w:rPr>
          <w:b/>
          <w:bCs/>
          <w:u w:val="single"/>
        </w:rPr>
        <w:t>Document 1</w:t>
      </w:r>
      <w:r w:rsidRPr="00975085">
        <w:rPr>
          <w:b/>
          <w:bCs/>
        </w:rPr>
        <w:t xml:space="preserve"> : Analyse sanguine de Mme T</w:t>
      </w:r>
    </w:p>
    <w:p w:rsidR="00975085" w:rsidRPr="00975085" w:rsidRDefault="00975085" w:rsidP="00975085">
      <w:pPr>
        <w:pStyle w:val="Sansinterligne"/>
      </w:pPr>
      <w:r w:rsidRPr="00975085">
        <w:t>Mme T manifeste un œdème (gonflement) de la glande thyroïde.</w:t>
      </w:r>
      <w:r w:rsidR="001F1690">
        <w:t xml:space="preserve"> </w:t>
      </w:r>
      <w:r w:rsidRPr="00975085">
        <w:t>La thyroïde est une glande hormonale située à la base du cou. Elle sécrète des hormones thyroïdiennes dont les actions sont multiples (croissance, métabolisme, température interne…).</w:t>
      </w:r>
    </w:p>
    <w:p w:rsidR="00975085" w:rsidRPr="00975085" w:rsidRDefault="00975085" w:rsidP="00975085">
      <w:pPr>
        <w:pStyle w:val="Sansinterligne"/>
      </w:pPr>
      <w:r w:rsidRPr="00975085">
        <w:rPr>
          <w:b/>
          <w:bCs/>
        </w:rPr>
        <w:t>Résultats de dosages hormonaux.</w:t>
      </w:r>
      <w:r w:rsidR="001F1690">
        <w:rPr>
          <w:b/>
          <w:bCs/>
        </w:rPr>
        <w:t xml:space="preserve"> </w:t>
      </w:r>
    </w:p>
    <w:tbl>
      <w:tblPr>
        <w:tblW w:w="654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1"/>
        <w:gridCol w:w="2153"/>
        <w:gridCol w:w="1803"/>
      </w:tblGrid>
      <w:tr w:rsidR="00975085" w:rsidRPr="00975085" w:rsidTr="001F1690">
        <w:trPr>
          <w:trHeight w:val="273"/>
          <w:tblCellSpacing w:w="15" w:type="dxa"/>
          <w:jc w:val="center"/>
        </w:trPr>
        <w:tc>
          <w:tcPr>
            <w:tcW w:w="2546" w:type="dxa"/>
            <w:tcBorders>
              <w:top w:val="single" w:sz="4" w:space="0" w:color="FFFFFF" w:themeColor="background1"/>
              <w:left w:val="single" w:sz="4" w:space="0" w:color="FFFFFF" w:themeColor="background1"/>
              <w:bottom w:val="single" w:sz="4" w:space="0" w:color="auto"/>
            </w:tcBorders>
            <w:vAlign w:val="center"/>
            <w:hideMark/>
          </w:tcPr>
          <w:p w:rsidR="00975085" w:rsidRPr="00975085" w:rsidRDefault="00975085" w:rsidP="0081202B">
            <w:pPr>
              <w:pStyle w:val="Sansinterligne"/>
              <w:rPr>
                <w:szCs w:val="24"/>
              </w:rPr>
            </w:pPr>
            <w:r w:rsidRPr="00975085">
              <w:rPr>
                <w:b/>
                <w:bCs/>
              </w:rPr>
              <w:t>Hormones</w:t>
            </w:r>
            <w:r w:rsidR="0081202B">
              <w:rPr>
                <w:b/>
                <w:bCs/>
              </w:rPr>
              <w:t xml:space="preserve"> </w:t>
            </w:r>
            <w:r w:rsidRPr="00975085">
              <w:rPr>
                <w:b/>
                <w:bCs/>
              </w:rPr>
              <w:t>thyroïdiennes</w:t>
            </w:r>
          </w:p>
        </w:tc>
        <w:tc>
          <w:tcPr>
            <w:tcW w:w="2123" w:type="dxa"/>
            <w:tcBorders>
              <w:top w:val="single" w:sz="4" w:space="0" w:color="FFFFFF" w:themeColor="background1"/>
              <w:left w:val="single" w:sz="4" w:space="0" w:color="FFFFFF" w:themeColor="background1"/>
              <w:bottom w:val="single" w:sz="4" w:space="0" w:color="auto"/>
            </w:tcBorders>
            <w:vAlign w:val="center"/>
            <w:hideMark/>
          </w:tcPr>
          <w:p w:rsidR="00975085" w:rsidRPr="00975085" w:rsidRDefault="00975085" w:rsidP="00975085">
            <w:pPr>
              <w:pStyle w:val="Sansinterligne"/>
              <w:rPr>
                <w:szCs w:val="24"/>
              </w:rPr>
            </w:pPr>
            <w:r w:rsidRPr="00975085">
              <w:rPr>
                <w:b/>
                <w:bCs/>
              </w:rPr>
              <w:t>Individu sain</w:t>
            </w:r>
          </w:p>
        </w:tc>
        <w:tc>
          <w:tcPr>
            <w:tcW w:w="175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rsidR="00975085" w:rsidRPr="00975085" w:rsidRDefault="00975085" w:rsidP="00975085">
            <w:pPr>
              <w:pStyle w:val="Sansinterligne"/>
              <w:rPr>
                <w:szCs w:val="24"/>
              </w:rPr>
            </w:pPr>
            <w:r w:rsidRPr="00975085">
              <w:rPr>
                <w:b/>
                <w:bCs/>
              </w:rPr>
              <w:t>Mme T</w:t>
            </w:r>
          </w:p>
        </w:tc>
      </w:tr>
      <w:tr w:rsidR="00975085" w:rsidRPr="00975085" w:rsidTr="001F1690">
        <w:trPr>
          <w:trHeight w:val="275"/>
          <w:tblCellSpacing w:w="15" w:type="dxa"/>
          <w:jc w:val="center"/>
        </w:trPr>
        <w:tc>
          <w:tcPr>
            <w:tcW w:w="2546" w:type="dxa"/>
            <w:tcBorders>
              <w:top w:val="single" w:sz="4" w:space="0" w:color="FFFFFF" w:themeColor="background1"/>
              <w:left w:val="single" w:sz="4" w:space="0" w:color="FFFFFF" w:themeColor="background1"/>
            </w:tcBorders>
            <w:vAlign w:val="center"/>
            <w:hideMark/>
          </w:tcPr>
          <w:p w:rsidR="00975085" w:rsidRPr="00975085" w:rsidRDefault="00975085" w:rsidP="00975085">
            <w:pPr>
              <w:pStyle w:val="Sansinterligne"/>
              <w:rPr>
                <w:szCs w:val="24"/>
              </w:rPr>
            </w:pPr>
            <w:r w:rsidRPr="00975085">
              <w:rPr>
                <w:b/>
                <w:bCs/>
              </w:rPr>
              <w:t>Triiodothyronine</w:t>
            </w:r>
          </w:p>
        </w:tc>
        <w:tc>
          <w:tcPr>
            <w:tcW w:w="2123" w:type="dxa"/>
            <w:tcBorders>
              <w:top w:val="single" w:sz="4" w:space="0" w:color="FFFFFF" w:themeColor="background1"/>
              <w:left w:val="single" w:sz="4" w:space="0" w:color="FFFFFF" w:themeColor="background1"/>
              <w:bottom w:val="single" w:sz="4" w:space="0" w:color="auto"/>
            </w:tcBorders>
            <w:vAlign w:val="center"/>
            <w:hideMark/>
          </w:tcPr>
          <w:p w:rsidR="00975085" w:rsidRPr="00975085" w:rsidRDefault="00975085" w:rsidP="00975085">
            <w:pPr>
              <w:pStyle w:val="Sansinterligne"/>
              <w:rPr>
                <w:szCs w:val="24"/>
              </w:rPr>
            </w:pPr>
            <w:r w:rsidRPr="00975085">
              <w:t>0,8 à 2,7.10</w:t>
            </w:r>
            <w:r w:rsidRPr="00975085">
              <w:rPr>
                <w:vertAlign w:val="superscript"/>
              </w:rPr>
              <w:t>-9</w:t>
            </w:r>
            <w:r w:rsidRPr="00975085">
              <w:t xml:space="preserve"> mol.l</w:t>
            </w:r>
            <w:r w:rsidRPr="00975085">
              <w:rPr>
                <w:vertAlign w:val="superscript"/>
              </w:rPr>
              <w:t>-1</w:t>
            </w:r>
          </w:p>
        </w:tc>
        <w:tc>
          <w:tcPr>
            <w:tcW w:w="175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rsidR="00975085" w:rsidRPr="00975085" w:rsidRDefault="00975085" w:rsidP="00975085">
            <w:pPr>
              <w:pStyle w:val="Sansinterligne"/>
              <w:rPr>
                <w:szCs w:val="24"/>
              </w:rPr>
            </w:pPr>
            <w:r w:rsidRPr="00975085">
              <w:t>0,6.10</w:t>
            </w:r>
            <w:r w:rsidRPr="00975085">
              <w:rPr>
                <w:vertAlign w:val="superscript"/>
              </w:rPr>
              <w:t>-9</w:t>
            </w:r>
            <w:r w:rsidRPr="00975085">
              <w:t xml:space="preserve"> mol.l</w:t>
            </w:r>
            <w:r w:rsidRPr="00975085">
              <w:rPr>
                <w:vertAlign w:val="superscript"/>
              </w:rPr>
              <w:t>-1</w:t>
            </w:r>
          </w:p>
        </w:tc>
      </w:tr>
      <w:tr w:rsidR="00975085" w:rsidRPr="00975085" w:rsidTr="001F1690">
        <w:trPr>
          <w:trHeight w:val="270"/>
          <w:tblCellSpacing w:w="15" w:type="dxa"/>
          <w:jc w:val="center"/>
        </w:trPr>
        <w:tc>
          <w:tcPr>
            <w:tcW w:w="2546" w:type="dxa"/>
            <w:tcBorders>
              <w:top w:val="single" w:sz="4" w:space="0" w:color="FFFFFF" w:themeColor="background1"/>
              <w:left w:val="single" w:sz="4" w:space="0" w:color="FFFFFF" w:themeColor="background1"/>
              <w:bottom w:val="single" w:sz="4" w:space="0" w:color="FFFFFF" w:themeColor="background1"/>
            </w:tcBorders>
            <w:vAlign w:val="center"/>
            <w:hideMark/>
          </w:tcPr>
          <w:p w:rsidR="00975085" w:rsidRPr="00975085" w:rsidRDefault="00975085" w:rsidP="00975085">
            <w:pPr>
              <w:pStyle w:val="Sansinterligne"/>
              <w:rPr>
                <w:szCs w:val="24"/>
              </w:rPr>
            </w:pPr>
            <w:r w:rsidRPr="00975085">
              <w:rPr>
                <w:b/>
                <w:bCs/>
              </w:rPr>
              <w:t>Thyroxine</w:t>
            </w:r>
          </w:p>
        </w:tc>
        <w:tc>
          <w:tcPr>
            <w:tcW w:w="2123" w:type="dxa"/>
            <w:tcBorders>
              <w:top w:val="single" w:sz="4" w:space="0" w:color="FFFFFF" w:themeColor="background1"/>
              <w:left w:val="single" w:sz="4" w:space="0" w:color="FFFFFF" w:themeColor="background1"/>
              <w:bottom w:val="single" w:sz="4" w:space="0" w:color="FFFFFF" w:themeColor="background1"/>
            </w:tcBorders>
            <w:vAlign w:val="center"/>
            <w:hideMark/>
          </w:tcPr>
          <w:p w:rsidR="00975085" w:rsidRPr="00975085" w:rsidRDefault="00975085" w:rsidP="001F1690">
            <w:pPr>
              <w:pStyle w:val="Sansinterligne"/>
              <w:rPr>
                <w:szCs w:val="24"/>
              </w:rPr>
            </w:pPr>
            <w:r w:rsidRPr="00975085">
              <w:t>11 à 27.10</w:t>
            </w:r>
            <w:r w:rsidR="00BD2B7D">
              <w:rPr>
                <w:vertAlign w:val="superscript"/>
              </w:rPr>
              <w:t>-1</w:t>
            </w:r>
            <w:r w:rsidRPr="00975085">
              <w:rPr>
                <w:vertAlign w:val="superscript"/>
              </w:rPr>
              <w:t>2</w:t>
            </w:r>
            <w:r w:rsidRPr="00975085">
              <w:t xml:space="preserve"> mol.l</w:t>
            </w:r>
            <w:r w:rsidRPr="00975085">
              <w:rPr>
                <w:vertAlign w:val="superscript"/>
              </w:rPr>
              <w:t>-1</w:t>
            </w:r>
          </w:p>
        </w:tc>
        <w:tc>
          <w:tcPr>
            <w:tcW w:w="17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975085" w:rsidRPr="00975085" w:rsidRDefault="00975085" w:rsidP="00975085">
            <w:pPr>
              <w:pStyle w:val="Sansinterligne"/>
              <w:rPr>
                <w:szCs w:val="24"/>
              </w:rPr>
            </w:pPr>
            <w:r w:rsidRPr="00975085">
              <w:t>8.10</w:t>
            </w:r>
            <w:r w:rsidRPr="00975085">
              <w:rPr>
                <w:vertAlign w:val="superscript"/>
              </w:rPr>
              <w:t>-12</w:t>
            </w:r>
            <w:r w:rsidRPr="00975085">
              <w:t xml:space="preserve"> mol.l</w:t>
            </w:r>
            <w:r w:rsidRPr="00975085">
              <w:rPr>
                <w:vertAlign w:val="superscript"/>
              </w:rPr>
              <w:t>-1</w:t>
            </w:r>
          </w:p>
        </w:tc>
      </w:tr>
    </w:tbl>
    <w:p w:rsidR="00975085" w:rsidRPr="00975085" w:rsidRDefault="00975085" w:rsidP="00975085">
      <w:pPr>
        <w:pStyle w:val="Sansinterligne"/>
      </w:pPr>
      <w:r w:rsidRPr="00975085">
        <w:t> </w:t>
      </w:r>
    </w:p>
    <w:p w:rsidR="00975085" w:rsidRPr="00975085" w:rsidRDefault="00975085" w:rsidP="00975085">
      <w:pPr>
        <w:pStyle w:val="Sansinterligne"/>
      </w:pPr>
      <w:r w:rsidRPr="00975085">
        <w:rPr>
          <w:b/>
          <w:bCs/>
          <w:u w:val="single"/>
        </w:rPr>
        <w:t>Document 2</w:t>
      </w:r>
      <w:r w:rsidRPr="00975085">
        <w:rPr>
          <w:b/>
          <w:bCs/>
        </w:rPr>
        <w:t xml:space="preserve"> : Structure histologique d’</w:t>
      </w:r>
      <w:r w:rsidR="001F1690">
        <w:rPr>
          <w:b/>
          <w:bCs/>
        </w:rPr>
        <w:t>une glande thyroïde normale (</w:t>
      </w:r>
      <w:r w:rsidRPr="00975085">
        <w:rPr>
          <w:b/>
          <w:bCs/>
        </w:rPr>
        <w:t xml:space="preserve">A) et de </w:t>
      </w:r>
      <w:r w:rsidR="001F1690">
        <w:rPr>
          <w:b/>
          <w:bCs/>
        </w:rPr>
        <w:t>la glande thyroïde de Mme T (</w:t>
      </w:r>
      <w:r w:rsidRPr="00975085">
        <w:rPr>
          <w:b/>
          <w:bCs/>
        </w:rPr>
        <w:t>B)</w:t>
      </w:r>
    </w:p>
    <w:p w:rsidR="00975085" w:rsidRPr="00975085" w:rsidRDefault="00975085" w:rsidP="00975085">
      <w:pPr>
        <w:pStyle w:val="Sansinterligne"/>
      </w:pPr>
      <w:r w:rsidRPr="00975085">
        <w:t>L’observation au microscope de la glande thyroïde montre des cellules sécrétrices ou thyrocytes, organisées en vésicules, qui en coupe, apparaissent circulaires.</w:t>
      </w:r>
    </w:p>
    <w:p w:rsidR="00975085" w:rsidRPr="00975085" w:rsidRDefault="00975085" w:rsidP="00975085">
      <w:pPr>
        <w:pStyle w:val="Sansinterligne"/>
        <w:jc w:val="center"/>
      </w:pPr>
      <w:r>
        <w:rPr>
          <w:noProof/>
          <w:lang w:eastAsia="fr-FR"/>
        </w:rPr>
        <w:drawing>
          <wp:inline distT="0" distB="0" distL="0" distR="0">
            <wp:extent cx="4378218" cy="3997249"/>
            <wp:effectExtent l="19050" t="0" r="3282" b="0"/>
            <wp:docPr id="59" name="Image 59" descr="thyro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thyroide"/>
                    <pic:cNvPicPr>
                      <a:picLocks noChangeAspect="1" noChangeArrowheads="1"/>
                    </pic:cNvPicPr>
                  </pic:nvPicPr>
                  <pic:blipFill>
                    <a:blip r:embed="rId11" cstate="print"/>
                    <a:srcRect/>
                    <a:stretch>
                      <a:fillRect/>
                    </a:stretch>
                  </pic:blipFill>
                  <pic:spPr bwMode="auto">
                    <a:xfrm>
                      <a:off x="0" y="0"/>
                      <a:ext cx="4378218" cy="3997249"/>
                    </a:xfrm>
                    <a:prstGeom prst="rect">
                      <a:avLst/>
                    </a:prstGeom>
                    <a:noFill/>
                    <a:ln w="9525">
                      <a:noFill/>
                      <a:miter lim="800000"/>
                      <a:headEnd/>
                      <a:tailEnd/>
                    </a:ln>
                  </pic:spPr>
                </pic:pic>
              </a:graphicData>
            </a:graphic>
          </wp:inline>
        </w:drawing>
      </w:r>
    </w:p>
    <w:p w:rsidR="00975085" w:rsidRPr="00BD2B7D" w:rsidRDefault="00975085" w:rsidP="00975085">
      <w:pPr>
        <w:pStyle w:val="Sansinterligne"/>
        <w:rPr>
          <w:sz w:val="6"/>
        </w:rPr>
      </w:pPr>
      <w:r w:rsidRPr="00BD2B7D">
        <w:rPr>
          <w:sz w:val="6"/>
        </w:rPr>
        <w:t> </w:t>
      </w:r>
    </w:p>
    <w:p w:rsidR="00975085" w:rsidRPr="00975085" w:rsidRDefault="00975085" w:rsidP="00975085">
      <w:pPr>
        <w:pStyle w:val="Sansinterligne"/>
      </w:pPr>
      <w:r w:rsidRPr="00975085">
        <w:rPr>
          <w:b/>
          <w:bCs/>
          <w:u w:val="single"/>
        </w:rPr>
        <w:t>Document 3</w:t>
      </w:r>
      <w:r w:rsidRPr="00975085">
        <w:rPr>
          <w:b/>
          <w:bCs/>
        </w:rPr>
        <w:t xml:space="preserve"> : Résultats de cultures cellulaires</w:t>
      </w:r>
    </w:p>
    <w:p w:rsidR="00975085" w:rsidRPr="00975085" w:rsidRDefault="00975085" w:rsidP="00975085">
      <w:pPr>
        <w:pStyle w:val="Sansinterligne"/>
      </w:pPr>
      <w:r w:rsidRPr="00975085">
        <w:t>On prélève dans la thyroïde de Mme T, diverses cellules avec lesquelles sont réalisées des cultures. On recherche la présence de plasmocytes, cellules sécrétrices d’immunoglobulines.</w:t>
      </w:r>
    </w:p>
    <w:p w:rsidR="00975085" w:rsidRPr="001F1690" w:rsidRDefault="00975085" w:rsidP="00975085">
      <w:pPr>
        <w:pStyle w:val="Sansinterligne"/>
        <w:rPr>
          <w:sz w:val="8"/>
          <w:szCs w:val="8"/>
        </w:rPr>
      </w:pPr>
      <w:r w:rsidRPr="001F1690">
        <w:rPr>
          <w:sz w:val="8"/>
          <w:szCs w:val="8"/>
        </w:rPr>
        <w:t> </w:t>
      </w:r>
    </w:p>
    <w:tbl>
      <w:tblPr>
        <w:tblW w:w="1086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4115"/>
        <w:gridCol w:w="1206"/>
        <w:gridCol w:w="4504"/>
      </w:tblGrid>
      <w:tr w:rsidR="00614D52" w:rsidRPr="00975085" w:rsidTr="001F1690">
        <w:trPr>
          <w:tblCellSpacing w:w="15" w:type="dxa"/>
          <w:jc w:val="center"/>
        </w:trPr>
        <w:tc>
          <w:tcPr>
            <w:tcW w:w="996" w:type="dxa"/>
            <w:tcBorders>
              <w:top w:val="nil"/>
              <w:left w:val="nil"/>
              <w:bottom w:val="single" w:sz="4" w:space="0" w:color="auto"/>
            </w:tcBorders>
            <w:vAlign w:val="center"/>
            <w:hideMark/>
          </w:tcPr>
          <w:p w:rsidR="00975085" w:rsidRPr="00975085" w:rsidRDefault="00975085" w:rsidP="00975085">
            <w:pPr>
              <w:pStyle w:val="Sansinterligne"/>
              <w:rPr>
                <w:szCs w:val="24"/>
              </w:rPr>
            </w:pPr>
          </w:p>
        </w:tc>
        <w:tc>
          <w:tcPr>
            <w:tcW w:w="0" w:type="auto"/>
            <w:tcBorders>
              <w:top w:val="nil"/>
              <w:left w:val="nil"/>
              <w:bottom w:val="single" w:sz="4" w:space="0" w:color="auto"/>
            </w:tcBorders>
            <w:vAlign w:val="center"/>
            <w:hideMark/>
          </w:tcPr>
          <w:p w:rsidR="00975085" w:rsidRPr="00614D52" w:rsidRDefault="00975085" w:rsidP="00614D52">
            <w:pPr>
              <w:pStyle w:val="Sansinterligne"/>
              <w:jc w:val="center"/>
              <w:rPr>
                <w:b/>
                <w:szCs w:val="24"/>
              </w:rPr>
            </w:pPr>
            <w:r w:rsidRPr="00614D52">
              <w:rPr>
                <w:b/>
              </w:rPr>
              <w:t>Cellules cultivées en présence de thyrocytes</w:t>
            </w:r>
          </w:p>
        </w:tc>
        <w:tc>
          <w:tcPr>
            <w:tcW w:w="0" w:type="auto"/>
            <w:tcBorders>
              <w:top w:val="nil"/>
              <w:left w:val="nil"/>
            </w:tcBorders>
            <w:vAlign w:val="center"/>
            <w:hideMark/>
          </w:tcPr>
          <w:p w:rsidR="00975085" w:rsidRPr="00614D52" w:rsidRDefault="00975085" w:rsidP="00614D52">
            <w:pPr>
              <w:pStyle w:val="Sansinterligne"/>
              <w:jc w:val="center"/>
              <w:rPr>
                <w:b/>
                <w:szCs w:val="24"/>
              </w:rPr>
            </w:pPr>
            <w:r w:rsidRPr="00614D52">
              <w:rPr>
                <w:b/>
              </w:rPr>
              <w:t>Plasmocytes</w:t>
            </w:r>
            <w:r w:rsidRPr="00614D52">
              <w:rPr>
                <w:b/>
              </w:rPr>
              <w:br/>
              <w:t>présents</w:t>
            </w:r>
          </w:p>
        </w:tc>
        <w:tc>
          <w:tcPr>
            <w:tcW w:w="4459" w:type="dxa"/>
            <w:tcBorders>
              <w:top w:val="nil"/>
              <w:left w:val="nil"/>
              <w:right w:val="nil"/>
            </w:tcBorders>
            <w:vAlign w:val="center"/>
            <w:hideMark/>
          </w:tcPr>
          <w:p w:rsidR="00614D52" w:rsidRPr="00614D52" w:rsidRDefault="00975085" w:rsidP="00614D52">
            <w:pPr>
              <w:pStyle w:val="Sansinterligne"/>
              <w:jc w:val="center"/>
              <w:rPr>
                <w:b/>
              </w:rPr>
            </w:pPr>
            <w:r w:rsidRPr="00614D52">
              <w:rPr>
                <w:b/>
              </w:rPr>
              <w:t>Immunoglobulines</w:t>
            </w:r>
          </w:p>
          <w:p w:rsidR="00975085" w:rsidRPr="00614D52" w:rsidRDefault="00975085" w:rsidP="00614D52">
            <w:pPr>
              <w:pStyle w:val="Sansinterligne"/>
              <w:jc w:val="center"/>
              <w:rPr>
                <w:b/>
                <w:szCs w:val="24"/>
              </w:rPr>
            </w:pPr>
            <w:r w:rsidRPr="00614D52">
              <w:rPr>
                <w:b/>
              </w:rPr>
              <w:t>ou gamma-globulines</w:t>
            </w:r>
          </w:p>
        </w:tc>
      </w:tr>
      <w:tr w:rsidR="001F1690" w:rsidRPr="00975085" w:rsidTr="001F1690">
        <w:trPr>
          <w:tblCellSpacing w:w="15" w:type="dxa"/>
          <w:jc w:val="center"/>
        </w:trPr>
        <w:tc>
          <w:tcPr>
            <w:tcW w:w="996" w:type="dxa"/>
            <w:tcBorders>
              <w:top w:val="nil"/>
              <w:left w:val="nil"/>
            </w:tcBorders>
            <w:vAlign w:val="center"/>
            <w:hideMark/>
          </w:tcPr>
          <w:p w:rsidR="00975085" w:rsidRPr="00975085" w:rsidRDefault="00975085" w:rsidP="00975085">
            <w:pPr>
              <w:pStyle w:val="Sansinterligne"/>
              <w:rPr>
                <w:szCs w:val="24"/>
              </w:rPr>
            </w:pPr>
            <w:r w:rsidRPr="00975085">
              <w:t>Culture 1</w:t>
            </w:r>
          </w:p>
        </w:tc>
        <w:tc>
          <w:tcPr>
            <w:tcW w:w="0" w:type="auto"/>
            <w:tcBorders>
              <w:top w:val="nil"/>
              <w:left w:val="nil"/>
            </w:tcBorders>
            <w:vAlign w:val="center"/>
            <w:hideMark/>
          </w:tcPr>
          <w:p w:rsidR="00975085" w:rsidRPr="00975085" w:rsidRDefault="00975085" w:rsidP="00975085">
            <w:pPr>
              <w:pStyle w:val="Sansinterligne"/>
              <w:rPr>
                <w:szCs w:val="24"/>
              </w:rPr>
            </w:pPr>
            <w:r w:rsidRPr="00975085">
              <w:t>Lymphocytes B</w:t>
            </w:r>
          </w:p>
        </w:tc>
        <w:tc>
          <w:tcPr>
            <w:tcW w:w="0" w:type="auto"/>
            <w:tcBorders>
              <w:top w:val="nil"/>
              <w:left w:val="nil"/>
            </w:tcBorders>
            <w:vAlign w:val="center"/>
            <w:hideMark/>
          </w:tcPr>
          <w:p w:rsidR="00975085" w:rsidRPr="00975085" w:rsidRDefault="00975085" w:rsidP="00975085">
            <w:pPr>
              <w:pStyle w:val="Sansinterligne"/>
              <w:rPr>
                <w:szCs w:val="24"/>
              </w:rPr>
            </w:pPr>
            <w:r w:rsidRPr="00975085">
              <w:t>aucun</w:t>
            </w:r>
          </w:p>
        </w:tc>
        <w:tc>
          <w:tcPr>
            <w:tcW w:w="4459" w:type="dxa"/>
            <w:tcBorders>
              <w:top w:val="nil"/>
              <w:left w:val="nil"/>
              <w:right w:val="nil"/>
            </w:tcBorders>
            <w:vAlign w:val="center"/>
            <w:hideMark/>
          </w:tcPr>
          <w:p w:rsidR="00975085" w:rsidRPr="00975085" w:rsidRDefault="00975085" w:rsidP="001F1690">
            <w:pPr>
              <w:pStyle w:val="Sansinterligne"/>
              <w:rPr>
                <w:szCs w:val="24"/>
              </w:rPr>
            </w:pPr>
            <w:r w:rsidRPr="00975085">
              <w:t>Pas de</w:t>
            </w:r>
            <w:r>
              <w:t xml:space="preserve"> </w:t>
            </w:r>
            <w:r w:rsidRPr="00975085">
              <w:t>gamma-globulines</w:t>
            </w:r>
            <w:r w:rsidR="001F1690">
              <w:t xml:space="preserve"> </w:t>
            </w:r>
            <w:r w:rsidRPr="00975085">
              <w:t>« anti-thyroglobuline »</w:t>
            </w:r>
          </w:p>
        </w:tc>
      </w:tr>
      <w:tr w:rsidR="001F1690" w:rsidRPr="00975085" w:rsidTr="001F1690">
        <w:trPr>
          <w:tblCellSpacing w:w="15" w:type="dxa"/>
          <w:jc w:val="center"/>
        </w:trPr>
        <w:tc>
          <w:tcPr>
            <w:tcW w:w="996" w:type="dxa"/>
            <w:tcBorders>
              <w:top w:val="nil"/>
              <w:left w:val="nil"/>
              <w:bottom w:val="single" w:sz="4" w:space="0" w:color="auto"/>
            </w:tcBorders>
            <w:vAlign w:val="center"/>
            <w:hideMark/>
          </w:tcPr>
          <w:p w:rsidR="00975085" w:rsidRPr="00975085" w:rsidRDefault="00975085" w:rsidP="00975085">
            <w:pPr>
              <w:pStyle w:val="Sansinterligne"/>
              <w:rPr>
                <w:szCs w:val="24"/>
              </w:rPr>
            </w:pPr>
            <w:r w:rsidRPr="00975085">
              <w:t>Culture 2</w:t>
            </w:r>
          </w:p>
        </w:tc>
        <w:tc>
          <w:tcPr>
            <w:tcW w:w="0" w:type="auto"/>
            <w:tcBorders>
              <w:top w:val="nil"/>
              <w:left w:val="nil"/>
            </w:tcBorders>
            <w:vAlign w:val="center"/>
            <w:hideMark/>
          </w:tcPr>
          <w:p w:rsidR="00975085" w:rsidRPr="00975085" w:rsidRDefault="00975085" w:rsidP="00975085">
            <w:pPr>
              <w:pStyle w:val="Sansinterligne"/>
              <w:rPr>
                <w:szCs w:val="24"/>
              </w:rPr>
            </w:pPr>
            <w:r w:rsidRPr="00975085">
              <w:t>Lymphocytes B</w:t>
            </w:r>
            <w:r>
              <w:t xml:space="preserve"> </w:t>
            </w:r>
            <w:r w:rsidRPr="00975085">
              <w:t>+Macrophages</w:t>
            </w:r>
          </w:p>
        </w:tc>
        <w:tc>
          <w:tcPr>
            <w:tcW w:w="0" w:type="auto"/>
            <w:tcBorders>
              <w:top w:val="nil"/>
              <w:left w:val="nil"/>
            </w:tcBorders>
            <w:vAlign w:val="center"/>
            <w:hideMark/>
          </w:tcPr>
          <w:p w:rsidR="00975085" w:rsidRPr="00975085" w:rsidRDefault="00975085" w:rsidP="00975085">
            <w:pPr>
              <w:pStyle w:val="Sansinterligne"/>
              <w:rPr>
                <w:szCs w:val="24"/>
              </w:rPr>
            </w:pPr>
            <w:r w:rsidRPr="00975085">
              <w:t>aucun</w:t>
            </w:r>
          </w:p>
        </w:tc>
        <w:tc>
          <w:tcPr>
            <w:tcW w:w="4459" w:type="dxa"/>
            <w:tcBorders>
              <w:top w:val="nil"/>
              <w:left w:val="nil"/>
              <w:right w:val="nil"/>
            </w:tcBorders>
            <w:vAlign w:val="center"/>
            <w:hideMark/>
          </w:tcPr>
          <w:p w:rsidR="00975085" w:rsidRPr="00975085" w:rsidRDefault="00975085" w:rsidP="001F1690">
            <w:pPr>
              <w:pStyle w:val="Sansinterligne"/>
              <w:rPr>
                <w:szCs w:val="24"/>
              </w:rPr>
            </w:pPr>
            <w:r w:rsidRPr="00975085">
              <w:t>Pas de</w:t>
            </w:r>
            <w:r>
              <w:t xml:space="preserve"> </w:t>
            </w:r>
            <w:r w:rsidRPr="00975085">
              <w:t>gamma-globulines</w:t>
            </w:r>
            <w:r w:rsidR="001F1690">
              <w:t xml:space="preserve"> </w:t>
            </w:r>
            <w:r w:rsidRPr="00975085">
              <w:t>« anti-thyroglobuline »</w:t>
            </w:r>
          </w:p>
        </w:tc>
      </w:tr>
      <w:tr w:rsidR="00614D52" w:rsidRPr="00975085" w:rsidTr="001F1690">
        <w:trPr>
          <w:tblCellSpacing w:w="15" w:type="dxa"/>
          <w:jc w:val="center"/>
        </w:trPr>
        <w:tc>
          <w:tcPr>
            <w:tcW w:w="996" w:type="dxa"/>
            <w:tcBorders>
              <w:top w:val="nil"/>
              <w:left w:val="nil"/>
              <w:bottom w:val="nil"/>
            </w:tcBorders>
            <w:vAlign w:val="center"/>
            <w:hideMark/>
          </w:tcPr>
          <w:p w:rsidR="00975085" w:rsidRPr="00975085" w:rsidRDefault="00975085" w:rsidP="00975085">
            <w:pPr>
              <w:pStyle w:val="Sansinterligne"/>
              <w:rPr>
                <w:szCs w:val="24"/>
              </w:rPr>
            </w:pPr>
            <w:r w:rsidRPr="00975085">
              <w:t>Culture 3</w:t>
            </w:r>
          </w:p>
        </w:tc>
        <w:tc>
          <w:tcPr>
            <w:tcW w:w="0" w:type="auto"/>
            <w:tcBorders>
              <w:top w:val="nil"/>
              <w:left w:val="nil"/>
              <w:bottom w:val="nil"/>
            </w:tcBorders>
            <w:vAlign w:val="center"/>
            <w:hideMark/>
          </w:tcPr>
          <w:p w:rsidR="00975085" w:rsidRPr="00975085" w:rsidRDefault="00975085" w:rsidP="001F1690">
            <w:pPr>
              <w:pStyle w:val="Sansinterligne"/>
              <w:rPr>
                <w:szCs w:val="24"/>
              </w:rPr>
            </w:pPr>
            <w:r w:rsidRPr="00975085">
              <w:t>Lymphocytes B</w:t>
            </w:r>
            <w:r>
              <w:t xml:space="preserve"> </w:t>
            </w:r>
            <w:r w:rsidRPr="00975085">
              <w:t>+</w:t>
            </w:r>
            <w:r>
              <w:t xml:space="preserve"> </w:t>
            </w:r>
            <w:r w:rsidRPr="00975085">
              <w:t>Macrophages</w:t>
            </w:r>
            <w:r w:rsidR="001F1690">
              <w:t xml:space="preserve"> </w:t>
            </w:r>
            <w:r w:rsidRPr="00975085">
              <w:t>+</w:t>
            </w:r>
            <w:r>
              <w:t xml:space="preserve"> </w:t>
            </w:r>
            <w:r w:rsidRPr="00975085">
              <w:lastRenderedPageBreak/>
              <w:t>Lymphocytes T CD4</w:t>
            </w:r>
          </w:p>
        </w:tc>
        <w:tc>
          <w:tcPr>
            <w:tcW w:w="0" w:type="auto"/>
            <w:tcBorders>
              <w:top w:val="nil"/>
              <w:left w:val="nil"/>
              <w:bottom w:val="nil"/>
            </w:tcBorders>
            <w:vAlign w:val="center"/>
            <w:hideMark/>
          </w:tcPr>
          <w:p w:rsidR="00975085" w:rsidRPr="00975085" w:rsidRDefault="00975085" w:rsidP="00975085">
            <w:pPr>
              <w:pStyle w:val="Sansinterligne"/>
              <w:rPr>
                <w:szCs w:val="24"/>
              </w:rPr>
            </w:pPr>
            <w:r w:rsidRPr="00975085">
              <w:lastRenderedPageBreak/>
              <w:t>nombreux</w:t>
            </w:r>
          </w:p>
        </w:tc>
        <w:tc>
          <w:tcPr>
            <w:tcW w:w="4459" w:type="dxa"/>
            <w:tcBorders>
              <w:top w:val="nil"/>
              <w:left w:val="nil"/>
              <w:bottom w:val="nil"/>
              <w:right w:val="nil"/>
            </w:tcBorders>
            <w:vAlign w:val="center"/>
            <w:hideMark/>
          </w:tcPr>
          <w:p w:rsidR="00975085" w:rsidRPr="00975085" w:rsidRDefault="00975085" w:rsidP="00614D52">
            <w:pPr>
              <w:pStyle w:val="Sansinterligne"/>
              <w:rPr>
                <w:szCs w:val="24"/>
              </w:rPr>
            </w:pPr>
            <w:r w:rsidRPr="00975085">
              <w:t>Gamma-globulines</w:t>
            </w:r>
            <w:r>
              <w:t xml:space="preserve"> </w:t>
            </w:r>
            <w:r w:rsidRPr="00975085">
              <w:t>« anti-thyroglobuline »</w:t>
            </w:r>
            <w:r w:rsidR="00614D52">
              <w:t xml:space="preserve"> </w:t>
            </w:r>
            <w:r w:rsidRPr="00975085">
              <w:lastRenderedPageBreak/>
              <w:t>nombreuses</w:t>
            </w:r>
          </w:p>
        </w:tc>
      </w:tr>
    </w:tbl>
    <w:p w:rsidR="00975085" w:rsidRPr="00975085" w:rsidRDefault="00975085" w:rsidP="00975085">
      <w:pPr>
        <w:pStyle w:val="Sansinterligne"/>
      </w:pPr>
      <w:r w:rsidRPr="00975085">
        <w:lastRenderedPageBreak/>
        <w:t> </w:t>
      </w:r>
    </w:p>
    <w:p w:rsidR="00975085" w:rsidRDefault="00975085" w:rsidP="00975085">
      <w:pPr>
        <w:pStyle w:val="Sansinterligne"/>
      </w:pPr>
      <w:r>
        <w:rPr>
          <w:rStyle w:val="lev"/>
          <w:u w:val="single"/>
        </w:rPr>
        <w:t>Document 4</w:t>
      </w:r>
      <w:r>
        <w:rPr>
          <w:rStyle w:val="lev"/>
        </w:rPr>
        <w:t xml:space="preserve"> : Biosynthèse des hormones thyroïdiennes</w:t>
      </w:r>
    </w:p>
    <w:p w:rsidR="00975085" w:rsidRDefault="00975085" w:rsidP="00614D52">
      <w:pPr>
        <w:pStyle w:val="Sansinterligne"/>
        <w:jc w:val="center"/>
      </w:pPr>
      <w:r>
        <w:rPr>
          <w:noProof/>
          <w:lang w:eastAsia="fr-FR"/>
        </w:rPr>
        <w:drawing>
          <wp:anchor distT="0" distB="0" distL="114300" distR="114300" simplePos="0" relativeHeight="251661312" behindDoc="0" locked="0" layoutInCell="1" allowOverlap="1">
            <wp:simplePos x="0" y="0"/>
            <wp:positionH relativeFrom="column">
              <wp:posOffset>0</wp:posOffset>
            </wp:positionH>
            <wp:positionV relativeFrom="paragraph">
              <wp:posOffset>11430</wp:posOffset>
            </wp:positionV>
            <wp:extent cx="3352800" cy="2914650"/>
            <wp:effectExtent l="19050" t="0" r="0" b="0"/>
            <wp:wrapNone/>
            <wp:docPr id="61" name="Image 61" descr="hthyro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hyroides"/>
                    <pic:cNvPicPr>
                      <a:picLocks noChangeAspect="1" noChangeArrowheads="1"/>
                    </pic:cNvPicPr>
                  </pic:nvPicPr>
                  <pic:blipFill>
                    <a:blip r:embed="rId12" cstate="print"/>
                    <a:srcRect/>
                    <a:stretch>
                      <a:fillRect/>
                    </a:stretch>
                  </pic:blipFill>
                  <pic:spPr bwMode="auto">
                    <a:xfrm>
                      <a:off x="0" y="0"/>
                      <a:ext cx="3352800" cy="2914650"/>
                    </a:xfrm>
                    <a:prstGeom prst="rect">
                      <a:avLst/>
                    </a:prstGeom>
                    <a:noFill/>
                    <a:ln w="9525">
                      <a:noFill/>
                      <a:miter lim="800000"/>
                      <a:headEnd/>
                      <a:tailEnd/>
                    </a:ln>
                  </pic:spPr>
                </pic:pic>
              </a:graphicData>
            </a:graphic>
          </wp:anchor>
        </w:drawing>
      </w:r>
    </w:p>
    <w:p w:rsidR="0081202B" w:rsidRPr="0081202B" w:rsidRDefault="0081202B" w:rsidP="001F1690">
      <w:pPr>
        <w:pStyle w:val="Sansinterligne"/>
        <w:ind w:left="6237" w:hanging="567"/>
        <w:jc w:val="center"/>
        <w:rPr>
          <w:sz w:val="8"/>
          <w:szCs w:val="8"/>
        </w:rPr>
      </w:pPr>
    </w:p>
    <w:p w:rsidR="00975085" w:rsidRDefault="00975085" w:rsidP="001F1690">
      <w:pPr>
        <w:pStyle w:val="Sansinterligne"/>
        <w:ind w:left="6237" w:hanging="567"/>
      </w:pPr>
      <w:r w:rsidRPr="0081202B">
        <w:rPr>
          <w:b/>
        </w:rPr>
        <w:t>Étape 1</w:t>
      </w:r>
      <w:r>
        <w:t xml:space="preserve"> : Le thyrocyte fabrique une protéine, la thyroglobuline (molécule précurseur), qui est expulsée par exocytose vers la lumière de la vésicule où elle s’accumule. Le thyrocyte prélève l’iode (I) apporté par l’alimentation dans le sang et le transfère dans la lumière de la vésicule.</w:t>
      </w:r>
    </w:p>
    <w:p w:rsidR="0081202B" w:rsidRPr="0081202B" w:rsidRDefault="0081202B" w:rsidP="001F1690">
      <w:pPr>
        <w:pStyle w:val="Sansinterligne"/>
        <w:ind w:left="6237" w:hanging="567"/>
        <w:rPr>
          <w:sz w:val="4"/>
          <w:szCs w:val="4"/>
        </w:rPr>
      </w:pPr>
    </w:p>
    <w:p w:rsidR="00975085" w:rsidRDefault="00975085" w:rsidP="001F1690">
      <w:pPr>
        <w:pStyle w:val="Sansinterligne"/>
        <w:ind w:left="6237" w:hanging="567"/>
      </w:pPr>
      <w:r w:rsidRPr="0081202B">
        <w:rPr>
          <w:b/>
        </w:rPr>
        <w:t>Étape 2</w:t>
      </w:r>
      <w:r>
        <w:t xml:space="preserve"> : Il y a ioduration de la thyroglobuline. Le couplage de la thyroglobuline et de l’iode (I) conduit à la thyroxine et la triiodothyronine.</w:t>
      </w:r>
    </w:p>
    <w:p w:rsidR="0081202B" w:rsidRPr="0081202B" w:rsidRDefault="0081202B" w:rsidP="001F1690">
      <w:pPr>
        <w:pStyle w:val="Sansinterligne"/>
        <w:ind w:left="6237" w:hanging="567"/>
        <w:rPr>
          <w:sz w:val="4"/>
          <w:szCs w:val="4"/>
        </w:rPr>
      </w:pPr>
    </w:p>
    <w:p w:rsidR="00975085" w:rsidRDefault="00975085" w:rsidP="001F1690">
      <w:pPr>
        <w:pStyle w:val="Sansinterligne"/>
        <w:ind w:left="6237" w:hanging="567"/>
      </w:pPr>
      <w:r w:rsidRPr="0081202B">
        <w:rPr>
          <w:b/>
        </w:rPr>
        <w:t>Étape 3</w:t>
      </w:r>
      <w:r>
        <w:t xml:space="preserve"> : Il y a endocytose de la thyroxine et triiodothyronine de la part des thyrocytes.</w:t>
      </w:r>
    </w:p>
    <w:p w:rsidR="0081202B" w:rsidRPr="0081202B" w:rsidRDefault="0081202B" w:rsidP="001F1690">
      <w:pPr>
        <w:pStyle w:val="Sansinterligne"/>
        <w:ind w:left="6237" w:hanging="567"/>
        <w:rPr>
          <w:sz w:val="4"/>
          <w:szCs w:val="4"/>
        </w:rPr>
      </w:pPr>
    </w:p>
    <w:p w:rsidR="00975085" w:rsidRDefault="00975085" w:rsidP="001F1690">
      <w:pPr>
        <w:pStyle w:val="Sansinterligne"/>
        <w:ind w:left="6237" w:hanging="567"/>
      </w:pPr>
      <w:r w:rsidRPr="0081202B">
        <w:rPr>
          <w:b/>
        </w:rPr>
        <w:t>Étape 4</w:t>
      </w:r>
      <w:r>
        <w:t xml:space="preserve"> : Les hormones thyroïdiennes sont libérées dans le sang.</w:t>
      </w:r>
    </w:p>
    <w:p w:rsidR="00975085" w:rsidRPr="00237BF9" w:rsidRDefault="00975085" w:rsidP="00237BF9">
      <w:pPr>
        <w:pStyle w:val="Sansinterligne"/>
        <w:rPr>
          <w:rFonts w:asciiTheme="minorHAnsi" w:hAnsiTheme="minorHAnsi" w:cstheme="minorHAnsi"/>
        </w:rPr>
      </w:pPr>
    </w:p>
    <w:sectPr w:rsidR="00975085" w:rsidRPr="00237BF9" w:rsidSect="00975085">
      <w:headerReference w:type="default" r:id="rId13"/>
      <w:footerReference w:type="default" r:id="rId14"/>
      <w:pgSz w:w="11906" w:h="16838"/>
      <w:pgMar w:top="720" w:right="720" w:bottom="568" w:left="720" w:header="568" w:footer="2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588" w:rsidRDefault="00597588" w:rsidP="00EF6DA2">
      <w:r>
        <w:separator/>
      </w:r>
    </w:p>
  </w:endnote>
  <w:endnote w:type="continuationSeparator" w:id="0">
    <w:p w:rsidR="00597588" w:rsidRDefault="00597588" w:rsidP="00EF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638136594"/>
      <w:docPartObj>
        <w:docPartGallery w:val="Page Numbers (Bottom of Page)"/>
        <w:docPartUnique/>
      </w:docPartObj>
    </w:sdtPr>
    <w:sdtEndPr/>
    <w:sdtContent>
      <w:sdt>
        <w:sdtPr>
          <w:rPr>
            <w:rFonts w:asciiTheme="minorHAnsi" w:hAnsiTheme="minorHAnsi"/>
          </w:rPr>
          <w:id w:val="123787560"/>
          <w:docPartObj>
            <w:docPartGallery w:val="Page Numbers (Top of Page)"/>
            <w:docPartUnique/>
          </w:docPartObj>
        </w:sdtPr>
        <w:sdtEndPr/>
        <w:sdtContent>
          <w:p w:rsidR="00EF6DA2" w:rsidRPr="0016432A" w:rsidRDefault="00EF6DA2" w:rsidP="00EF6DA2">
            <w:pPr>
              <w:pStyle w:val="Pieddepage"/>
              <w:jc w:val="center"/>
              <w:rPr>
                <w:rFonts w:asciiTheme="minorHAnsi" w:hAnsiTheme="minorHAnsi"/>
              </w:rPr>
            </w:pPr>
            <w:r w:rsidRPr="0016432A">
              <w:rPr>
                <w:rFonts w:asciiTheme="minorHAnsi" w:hAnsiTheme="minorHAnsi"/>
              </w:rPr>
              <w:t xml:space="preserve">Page </w:t>
            </w:r>
            <w:r w:rsidR="00761DE9" w:rsidRPr="0016432A">
              <w:rPr>
                <w:rFonts w:asciiTheme="minorHAnsi" w:hAnsiTheme="minorHAnsi"/>
                <w:b/>
              </w:rPr>
              <w:fldChar w:fldCharType="begin"/>
            </w:r>
            <w:r w:rsidRPr="0016432A">
              <w:rPr>
                <w:rFonts w:asciiTheme="minorHAnsi" w:hAnsiTheme="minorHAnsi"/>
                <w:b/>
              </w:rPr>
              <w:instrText>PAGE</w:instrText>
            </w:r>
            <w:r w:rsidR="00761DE9" w:rsidRPr="0016432A">
              <w:rPr>
                <w:rFonts w:asciiTheme="minorHAnsi" w:hAnsiTheme="minorHAnsi"/>
                <w:b/>
              </w:rPr>
              <w:fldChar w:fldCharType="separate"/>
            </w:r>
            <w:r w:rsidR="00E55C3A">
              <w:rPr>
                <w:rFonts w:asciiTheme="minorHAnsi" w:hAnsiTheme="minorHAnsi"/>
                <w:b/>
                <w:noProof/>
              </w:rPr>
              <w:t>1</w:t>
            </w:r>
            <w:r w:rsidR="00761DE9" w:rsidRPr="0016432A">
              <w:rPr>
                <w:rFonts w:asciiTheme="minorHAnsi" w:hAnsiTheme="minorHAnsi"/>
                <w:b/>
              </w:rPr>
              <w:fldChar w:fldCharType="end"/>
            </w:r>
            <w:r w:rsidRPr="0016432A">
              <w:rPr>
                <w:rFonts w:asciiTheme="minorHAnsi" w:hAnsiTheme="minorHAnsi"/>
              </w:rPr>
              <w:t xml:space="preserve"> sur </w:t>
            </w:r>
            <w:r w:rsidR="00761DE9" w:rsidRPr="0016432A">
              <w:rPr>
                <w:rFonts w:asciiTheme="minorHAnsi" w:hAnsiTheme="minorHAnsi"/>
                <w:b/>
              </w:rPr>
              <w:fldChar w:fldCharType="begin"/>
            </w:r>
            <w:r w:rsidRPr="0016432A">
              <w:rPr>
                <w:rFonts w:asciiTheme="minorHAnsi" w:hAnsiTheme="minorHAnsi"/>
                <w:b/>
              </w:rPr>
              <w:instrText>NUMPAGES</w:instrText>
            </w:r>
            <w:r w:rsidR="00761DE9" w:rsidRPr="0016432A">
              <w:rPr>
                <w:rFonts w:asciiTheme="minorHAnsi" w:hAnsiTheme="minorHAnsi"/>
                <w:b/>
              </w:rPr>
              <w:fldChar w:fldCharType="separate"/>
            </w:r>
            <w:r w:rsidR="00E55C3A">
              <w:rPr>
                <w:rFonts w:asciiTheme="minorHAnsi" w:hAnsiTheme="minorHAnsi"/>
                <w:b/>
                <w:noProof/>
              </w:rPr>
              <w:t>4</w:t>
            </w:r>
            <w:r w:rsidR="00761DE9" w:rsidRPr="0016432A">
              <w:rPr>
                <w:rFonts w:asciiTheme="minorHAnsi" w:hAnsiTheme="minorHAnsi"/>
                <w:b/>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588" w:rsidRDefault="00597588" w:rsidP="00EF6DA2">
      <w:r>
        <w:separator/>
      </w:r>
    </w:p>
  </w:footnote>
  <w:footnote w:type="continuationSeparator" w:id="0">
    <w:p w:rsidR="00597588" w:rsidRDefault="00597588" w:rsidP="00EF6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DA2" w:rsidRPr="009026D3" w:rsidRDefault="001C1069" w:rsidP="00EF6DA2">
    <w:pPr>
      <w:pStyle w:val="En-tte"/>
      <w:jc w:val="right"/>
      <w:rPr>
        <w:rFonts w:asciiTheme="minorHAnsi" w:hAnsiTheme="minorHAnsi"/>
        <w:sz w:val="22"/>
      </w:rPr>
    </w:pPr>
    <w:r>
      <w:rPr>
        <w:rFonts w:asciiTheme="minorHAnsi" w:hAnsiTheme="minorHAnsi"/>
        <w:sz w:val="22"/>
      </w:rPr>
      <w:t>1ere</w:t>
    </w:r>
    <w:r w:rsidR="004C3448">
      <w:rPr>
        <w:rFonts w:asciiTheme="minorHAnsi" w:hAnsiTheme="minorHAnsi"/>
        <w:sz w:val="22"/>
      </w:rPr>
      <w:t xml:space="preserve"> – thème 3</w:t>
    </w:r>
    <w:r w:rsidR="00532F09">
      <w:rPr>
        <w:rFonts w:asciiTheme="minorHAnsi" w:hAnsiTheme="minorHAnsi"/>
        <w:sz w:val="22"/>
      </w:rPr>
      <w:t xml:space="preserve"> – </w:t>
    </w:r>
    <w:r w:rsidR="00532F09" w:rsidRPr="00532F09">
      <w:rPr>
        <w:rFonts w:asciiTheme="minorHAnsi" w:hAnsiTheme="minorHAnsi"/>
        <w:b/>
        <w:sz w:val="22"/>
      </w:rPr>
      <w:t xml:space="preserve">chapitre </w:t>
    </w:r>
    <w:r w:rsidR="00F372F9">
      <w:rPr>
        <w:rFonts w:asciiTheme="minorHAnsi" w:hAnsiTheme="minorHAnsi"/>
        <w:b/>
        <w:sz w:val="22"/>
      </w:rPr>
      <w:t>2 et 3</w:t>
    </w:r>
    <w:r w:rsidR="009026D3" w:rsidRPr="009026D3">
      <w:rPr>
        <w:rFonts w:asciiTheme="minorHAnsi" w:hAnsiTheme="minorHAnsi"/>
        <w:sz w:val="22"/>
      </w:rPr>
      <w:t>- exercices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466D8"/>
    <w:multiLevelType w:val="hybridMultilevel"/>
    <w:tmpl w:val="0A001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005C9B"/>
    <w:multiLevelType w:val="hybridMultilevel"/>
    <w:tmpl w:val="F5241B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A2"/>
    <w:rsid w:val="000067C1"/>
    <w:rsid w:val="00091EC7"/>
    <w:rsid w:val="000C4498"/>
    <w:rsid w:val="00136349"/>
    <w:rsid w:val="0016432A"/>
    <w:rsid w:val="00167C62"/>
    <w:rsid w:val="00175A2D"/>
    <w:rsid w:val="00182AD1"/>
    <w:rsid w:val="00186BCB"/>
    <w:rsid w:val="001C1069"/>
    <w:rsid w:val="001F1690"/>
    <w:rsid w:val="002072A1"/>
    <w:rsid w:val="00237BF9"/>
    <w:rsid w:val="00257CCE"/>
    <w:rsid w:val="002616D5"/>
    <w:rsid w:val="00294094"/>
    <w:rsid w:val="00330BEE"/>
    <w:rsid w:val="003506AF"/>
    <w:rsid w:val="003E6B3A"/>
    <w:rsid w:val="003F6E04"/>
    <w:rsid w:val="004C3448"/>
    <w:rsid w:val="004D3BAD"/>
    <w:rsid w:val="004F7022"/>
    <w:rsid w:val="00513DC6"/>
    <w:rsid w:val="00532F09"/>
    <w:rsid w:val="00535E3D"/>
    <w:rsid w:val="00576B46"/>
    <w:rsid w:val="00581017"/>
    <w:rsid w:val="00597453"/>
    <w:rsid w:val="00597588"/>
    <w:rsid w:val="00600CCF"/>
    <w:rsid w:val="00614D52"/>
    <w:rsid w:val="00643243"/>
    <w:rsid w:val="00676C40"/>
    <w:rsid w:val="007239CE"/>
    <w:rsid w:val="00761DE9"/>
    <w:rsid w:val="00777890"/>
    <w:rsid w:val="00797192"/>
    <w:rsid w:val="007C35A6"/>
    <w:rsid w:val="007E3006"/>
    <w:rsid w:val="0081202B"/>
    <w:rsid w:val="00834C45"/>
    <w:rsid w:val="00851D7A"/>
    <w:rsid w:val="008E432F"/>
    <w:rsid w:val="008E49B9"/>
    <w:rsid w:val="009026D3"/>
    <w:rsid w:val="009465CD"/>
    <w:rsid w:val="00975085"/>
    <w:rsid w:val="009E7878"/>
    <w:rsid w:val="00A722D0"/>
    <w:rsid w:val="00B24695"/>
    <w:rsid w:val="00B41230"/>
    <w:rsid w:val="00BD2B7D"/>
    <w:rsid w:val="00C07B44"/>
    <w:rsid w:val="00C33B68"/>
    <w:rsid w:val="00C44D44"/>
    <w:rsid w:val="00C701F9"/>
    <w:rsid w:val="00C76AAF"/>
    <w:rsid w:val="00C80282"/>
    <w:rsid w:val="00CE1850"/>
    <w:rsid w:val="00CE5CF3"/>
    <w:rsid w:val="00CF228C"/>
    <w:rsid w:val="00D00B0F"/>
    <w:rsid w:val="00D01CAC"/>
    <w:rsid w:val="00DA29ED"/>
    <w:rsid w:val="00DA64C1"/>
    <w:rsid w:val="00E100FF"/>
    <w:rsid w:val="00E177D0"/>
    <w:rsid w:val="00E17AAA"/>
    <w:rsid w:val="00E53C7B"/>
    <w:rsid w:val="00E55C3A"/>
    <w:rsid w:val="00E75C0D"/>
    <w:rsid w:val="00EC6097"/>
    <w:rsid w:val="00EF6DA2"/>
    <w:rsid w:val="00EF73C0"/>
    <w:rsid w:val="00F372F9"/>
    <w:rsid w:val="00F553D3"/>
    <w:rsid w:val="00FE3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5F8992-FDF1-4B0C-A3D0-69C6D4C8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878"/>
    <w:pPr>
      <w:spacing w:after="0" w:line="240" w:lineRule="auto"/>
    </w:pPr>
    <w:rPr>
      <w:rFonts w:ascii="Times New Roman" w:eastAsia="Times New Roman" w:hAnsi="Times New Roman"/>
      <w:sz w:val="24"/>
      <w:szCs w:val="24"/>
      <w:lang w:eastAsia="fr-FR"/>
    </w:rPr>
  </w:style>
  <w:style w:type="paragraph" w:styleId="Titre1">
    <w:name w:val="heading 1"/>
    <w:basedOn w:val="Normal"/>
    <w:next w:val="Normal"/>
    <w:link w:val="Titre1Car"/>
    <w:uiPriority w:val="9"/>
    <w:qFormat/>
    <w:rsid w:val="00C802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link w:val="Titre5Car"/>
    <w:uiPriority w:val="9"/>
    <w:qFormat/>
    <w:rsid w:val="008E432F"/>
    <w:pPr>
      <w:pBdr>
        <w:bottom w:val="single" w:sz="4" w:space="1" w:color="548DD4"/>
      </w:pBdr>
      <w:spacing w:before="200" w:after="100"/>
      <w:contextualSpacing/>
      <w:outlineLvl w:val="4"/>
    </w:pPr>
    <w:rPr>
      <w:rFonts w:ascii="Cambria" w:hAnsi="Cambria"/>
      <w:smallCaps/>
      <w:color w:val="3071C3"/>
      <w:spacing w:val="2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F6DA2"/>
    <w:pPr>
      <w:tabs>
        <w:tab w:val="center" w:pos="4536"/>
        <w:tab w:val="right" w:pos="9072"/>
      </w:tabs>
    </w:pPr>
  </w:style>
  <w:style w:type="character" w:customStyle="1" w:styleId="En-tteCar">
    <w:name w:val="En-tête Car"/>
    <w:basedOn w:val="Policepardfaut"/>
    <w:link w:val="En-tte"/>
    <w:uiPriority w:val="99"/>
    <w:semiHidden/>
    <w:rsid w:val="00EF6DA2"/>
  </w:style>
  <w:style w:type="paragraph" w:styleId="Pieddepage">
    <w:name w:val="footer"/>
    <w:basedOn w:val="Normal"/>
    <w:link w:val="PieddepageCar"/>
    <w:uiPriority w:val="99"/>
    <w:unhideWhenUsed/>
    <w:rsid w:val="00EF6DA2"/>
    <w:pPr>
      <w:tabs>
        <w:tab w:val="center" w:pos="4536"/>
        <w:tab w:val="right" w:pos="9072"/>
      </w:tabs>
    </w:pPr>
  </w:style>
  <w:style w:type="character" w:customStyle="1" w:styleId="PieddepageCar">
    <w:name w:val="Pied de page Car"/>
    <w:basedOn w:val="Policepardfaut"/>
    <w:link w:val="Pieddepage"/>
    <w:uiPriority w:val="99"/>
    <w:rsid w:val="00EF6DA2"/>
  </w:style>
  <w:style w:type="paragraph" w:styleId="Sansinterligne">
    <w:name w:val="No Spacing"/>
    <w:uiPriority w:val="1"/>
    <w:qFormat/>
    <w:rsid w:val="00EF6DA2"/>
    <w:pPr>
      <w:spacing w:after="0" w:line="240" w:lineRule="auto"/>
    </w:pPr>
  </w:style>
  <w:style w:type="paragraph" w:styleId="NormalWeb">
    <w:name w:val="Normal (Web)"/>
    <w:basedOn w:val="Normal"/>
    <w:uiPriority w:val="99"/>
    <w:rsid w:val="009E7878"/>
    <w:pPr>
      <w:spacing w:before="100" w:beforeAutospacing="1" w:after="100" w:afterAutospacing="1"/>
    </w:pPr>
  </w:style>
  <w:style w:type="character" w:styleId="lev">
    <w:name w:val="Strong"/>
    <w:uiPriority w:val="22"/>
    <w:qFormat/>
    <w:rsid w:val="009E7878"/>
    <w:rPr>
      <w:b/>
      <w:bCs/>
    </w:rPr>
  </w:style>
  <w:style w:type="paragraph" w:styleId="Textedebulles">
    <w:name w:val="Balloon Text"/>
    <w:basedOn w:val="Normal"/>
    <w:link w:val="TextedebullesCar"/>
    <w:uiPriority w:val="99"/>
    <w:semiHidden/>
    <w:unhideWhenUsed/>
    <w:rsid w:val="009E7878"/>
    <w:rPr>
      <w:rFonts w:ascii="Tahoma" w:hAnsi="Tahoma" w:cs="Tahoma"/>
      <w:sz w:val="16"/>
      <w:szCs w:val="16"/>
    </w:rPr>
  </w:style>
  <w:style w:type="character" w:customStyle="1" w:styleId="TextedebullesCar">
    <w:name w:val="Texte de bulles Car"/>
    <w:basedOn w:val="Policepardfaut"/>
    <w:link w:val="Textedebulles"/>
    <w:uiPriority w:val="99"/>
    <w:semiHidden/>
    <w:rsid w:val="009E7878"/>
    <w:rPr>
      <w:rFonts w:ascii="Tahoma" w:eastAsia="Times New Roman" w:hAnsi="Tahoma" w:cs="Tahoma"/>
      <w:sz w:val="16"/>
      <w:szCs w:val="16"/>
      <w:lang w:eastAsia="fr-FR"/>
    </w:rPr>
  </w:style>
  <w:style w:type="character" w:customStyle="1" w:styleId="Titre5Car">
    <w:name w:val="Titre 5 Car"/>
    <w:basedOn w:val="Policepardfaut"/>
    <w:link w:val="Titre5"/>
    <w:uiPriority w:val="9"/>
    <w:rsid w:val="008E432F"/>
    <w:rPr>
      <w:rFonts w:ascii="Cambria" w:eastAsia="Times New Roman" w:hAnsi="Cambria"/>
      <w:smallCaps/>
      <w:color w:val="3071C3"/>
      <w:spacing w:val="20"/>
      <w:sz w:val="20"/>
      <w:szCs w:val="20"/>
    </w:rPr>
  </w:style>
  <w:style w:type="character" w:styleId="Accentuation">
    <w:name w:val="Emphasis"/>
    <w:basedOn w:val="Policepardfaut"/>
    <w:uiPriority w:val="20"/>
    <w:qFormat/>
    <w:rsid w:val="00294094"/>
    <w:rPr>
      <w:i/>
      <w:iCs/>
    </w:rPr>
  </w:style>
  <w:style w:type="paragraph" w:customStyle="1" w:styleId="arial12">
    <w:name w:val="arial_12"/>
    <w:basedOn w:val="Normal"/>
    <w:rsid w:val="00294094"/>
    <w:pPr>
      <w:spacing w:before="100" w:beforeAutospacing="1" w:after="100" w:afterAutospacing="1"/>
    </w:pPr>
  </w:style>
  <w:style w:type="character" w:customStyle="1" w:styleId="Titre1Car">
    <w:name w:val="Titre 1 Car"/>
    <w:basedOn w:val="Policepardfaut"/>
    <w:link w:val="Titre1"/>
    <w:uiPriority w:val="9"/>
    <w:rsid w:val="00C80282"/>
    <w:rPr>
      <w:rFonts w:asciiTheme="majorHAnsi" w:eastAsiaTheme="majorEastAsia" w:hAnsiTheme="majorHAnsi" w:cstheme="majorBidi"/>
      <w:b/>
      <w:bCs/>
      <w:color w:val="365F91" w:themeColor="accent1" w:themeShade="BF"/>
      <w:sz w:val="28"/>
      <w:szCs w:val="28"/>
      <w:lang w:eastAsia="fr-FR"/>
    </w:rPr>
  </w:style>
  <w:style w:type="character" w:styleId="Lienhypertexte">
    <w:name w:val="Hyperlink"/>
    <w:basedOn w:val="Policepardfaut"/>
    <w:uiPriority w:val="99"/>
    <w:semiHidden/>
    <w:unhideWhenUsed/>
    <w:rsid w:val="00C80282"/>
    <w:rPr>
      <w:color w:val="0000FF"/>
      <w:u w:val="single"/>
    </w:rPr>
  </w:style>
  <w:style w:type="character" w:customStyle="1" w:styleId="screen-reader-text">
    <w:name w:val="screen-reader-text"/>
    <w:basedOn w:val="Policepardfaut"/>
    <w:rsid w:val="00C80282"/>
  </w:style>
  <w:style w:type="character" w:customStyle="1" w:styleId="current">
    <w:name w:val="current"/>
    <w:basedOn w:val="Policepardfaut"/>
    <w:rsid w:val="00C80282"/>
  </w:style>
  <w:style w:type="character" w:customStyle="1" w:styleId="blcateg">
    <w:name w:val="bl_categ"/>
    <w:basedOn w:val="Policepardfaut"/>
    <w:rsid w:val="00C8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0313">
      <w:bodyDiv w:val="1"/>
      <w:marLeft w:val="0"/>
      <w:marRight w:val="0"/>
      <w:marTop w:val="0"/>
      <w:marBottom w:val="0"/>
      <w:divBdr>
        <w:top w:val="none" w:sz="0" w:space="0" w:color="auto"/>
        <w:left w:val="none" w:sz="0" w:space="0" w:color="auto"/>
        <w:bottom w:val="none" w:sz="0" w:space="0" w:color="auto"/>
        <w:right w:val="none" w:sz="0" w:space="0" w:color="auto"/>
      </w:divBdr>
    </w:div>
    <w:div w:id="54623963">
      <w:bodyDiv w:val="1"/>
      <w:marLeft w:val="0"/>
      <w:marRight w:val="0"/>
      <w:marTop w:val="0"/>
      <w:marBottom w:val="0"/>
      <w:divBdr>
        <w:top w:val="none" w:sz="0" w:space="0" w:color="auto"/>
        <w:left w:val="none" w:sz="0" w:space="0" w:color="auto"/>
        <w:bottom w:val="none" w:sz="0" w:space="0" w:color="auto"/>
        <w:right w:val="none" w:sz="0" w:space="0" w:color="auto"/>
      </w:divBdr>
    </w:div>
    <w:div w:id="142546914">
      <w:bodyDiv w:val="1"/>
      <w:marLeft w:val="0"/>
      <w:marRight w:val="0"/>
      <w:marTop w:val="0"/>
      <w:marBottom w:val="0"/>
      <w:divBdr>
        <w:top w:val="none" w:sz="0" w:space="0" w:color="auto"/>
        <w:left w:val="none" w:sz="0" w:space="0" w:color="auto"/>
        <w:bottom w:val="none" w:sz="0" w:space="0" w:color="auto"/>
        <w:right w:val="none" w:sz="0" w:space="0" w:color="auto"/>
      </w:divBdr>
    </w:div>
    <w:div w:id="247083771">
      <w:bodyDiv w:val="1"/>
      <w:marLeft w:val="0"/>
      <w:marRight w:val="0"/>
      <w:marTop w:val="0"/>
      <w:marBottom w:val="0"/>
      <w:divBdr>
        <w:top w:val="none" w:sz="0" w:space="0" w:color="auto"/>
        <w:left w:val="none" w:sz="0" w:space="0" w:color="auto"/>
        <w:bottom w:val="none" w:sz="0" w:space="0" w:color="auto"/>
        <w:right w:val="none" w:sz="0" w:space="0" w:color="auto"/>
      </w:divBdr>
    </w:div>
    <w:div w:id="260842138">
      <w:bodyDiv w:val="1"/>
      <w:marLeft w:val="0"/>
      <w:marRight w:val="0"/>
      <w:marTop w:val="0"/>
      <w:marBottom w:val="0"/>
      <w:divBdr>
        <w:top w:val="none" w:sz="0" w:space="0" w:color="auto"/>
        <w:left w:val="none" w:sz="0" w:space="0" w:color="auto"/>
        <w:bottom w:val="none" w:sz="0" w:space="0" w:color="auto"/>
        <w:right w:val="none" w:sz="0" w:space="0" w:color="auto"/>
      </w:divBdr>
    </w:div>
    <w:div w:id="366414706">
      <w:bodyDiv w:val="1"/>
      <w:marLeft w:val="0"/>
      <w:marRight w:val="0"/>
      <w:marTop w:val="0"/>
      <w:marBottom w:val="0"/>
      <w:divBdr>
        <w:top w:val="none" w:sz="0" w:space="0" w:color="auto"/>
        <w:left w:val="none" w:sz="0" w:space="0" w:color="auto"/>
        <w:bottom w:val="none" w:sz="0" w:space="0" w:color="auto"/>
        <w:right w:val="none" w:sz="0" w:space="0" w:color="auto"/>
      </w:divBdr>
    </w:div>
    <w:div w:id="498153482">
      <w:bodyDiv w:val="1"/>
      <w:marLeft w:val="0"/>
      <w:marRight w:val="0"/>
      <w:marTop w:val="0"/>
      <w:marBottom w:val="0"/>
      <w:divBdr>
        <w:top w:val="none" w:sz="0" w:space="0" w:color="auto"/>
        <w:left w:val="none" w:sz="0" w:space="0" w:color="auto"/>
        <w:bottom w:val="none" w:sz="0" w:space="0" w:color="auto"/>
        <w:right w:val="none" w:sz="0" w:space="0" w:color="auto"/>
      </w:divBdr>
    </w:div>
    <w:div w:id="914241028">
      <w:bodyDiv w:val="1"/>
      <w:marLeft w:val="0"/>
      <w:marRight w:val="0"/>
      <w:marTop w:val="0"/>
      <w:marBottom w:val="0"/>
      <w:divBdr>
        <w:top w:val="none" w:sz="0" w:space="0" w:color="auto"/>
        <w:left w:val="none" w:sz="0" w:space="0" w:color="auto"/>
        <w:bottom w:val="none" w:sz="0" w:space="0" w:color="auto"/>
        <w:right w:val="none" w:sz="0" w:space="0" w:color="auto"/>
      </w:divBdr>
    </w:div>
    <w:div w:id="1393505889">
      <w:bodyDiv w:val="1"/>
      <w:marLeft w:val="0"/>
      <w:marRight w:val="0"/>
      <w:marTop w:val="0"/>
      <w:marBottom w:val="0"/>
      <w:divBdr>
        <w:top w:val="none" w:sz="0" w:space="0" w:color="auto"/>
        <w:left w:val="none" w:sz="0" w:space="0" w:color="auto"/>
        <w:bottom w:val="none" w:sz="0" w:space="0" w:color="auto"/>
        <w:right w:val="none" w:sz="0" w:space="0" w:color="auto"/>
      </w:divBdr>
      <w:divsChild>
        <w:div w:id="1476755103">
          <w:marLeft w:val="0"/>
          <w:marRight w:val="0"/>
          <w:marTop w:val="0"/>
          <w:marBottom w:val="0"/>
          <w:divBdr>
            <w:top w:val="none" w:sz="0" w:space="0" w:color="auto"/>
            <w:left w:val="none" w:sz="0" w:space="0" w:color="auto"/>
            <w:bottom w:val="none" w:sz="0" w:space="0" w:color="auto"/>
            <w:right w:val="none" w:sz="0" w:space="0" w:color="auto"/>
          </w:divBdr>
          <w:divsChild>
            <w:div w:id="1957909033">
              <w:marLeft w:val="0"/>
              <w:marRight w:val="0"/>
              <w:marTop w:val="0"/>
              <w:marBottom w:val="0"/>
              <w:divBdr>
                <w:top w:val="none" w:sz="0" w:space="0" w:color="auto"/>
                <w:left w:val="none" w:sz="0" w:space="0" w:color="auto"/>
                <w:bottom w:val="none" w:sz="0" w:space="0" w:color="auto"/>
                <w:right w:val="none" w:sz="0" w:space="0" w:color="auto"/>
              </w:divBdr>
            </w:div>
            <w:div w:id="1798991792">
              <w:marLeft w:val="0"/>
              <w:marRight w:val="0"/>
              <w:marTop w:val="0"/>
              <w:marBottom w:val="0"/>
              <w:divBdr>
                <w:top w:val="none" w:sz="0" w:space="0" w:color="auto"/>
                <w:left w:val="none" w:sz="0" w:space="0" w:color="auto"/>
                <w:bottom w:val="none" w:sz="0" w:space="0" w:color="auto"/>
                <w:right w:val="none" w:sz="0" w:space="0" w:color="auto"/>
              </w:divBdr>
              <w:divsChild>
                <w:div w:id="2106073746">
                  <w:marLeft w:val="0"/>
                  <w:marRight w:val="0"/>
                  <w:marTop w:val="0"/>
                  <w:marBottom w:val="0"/>
                  <w:divBdr>
                    <w:top w:val="none" w:sz="0" w:space="0" w:color="auto"/>
                    <w:left w:val="none" w:sz="0" w:space="0" w:color="auto"/>
                    <w:bottom w:val="none" w:sz="0" w:space="0" w:color="auto"/>
                    <w:right w:val="none" w:sz="0" w:space="0" w:color="auto"/>
                  </w:divBdr>
                </w:div>
                <w:div w:id="11717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12207">
      <w:bodyDiv w:val="1"/>
      <w:marLeft w:val="0"/>
      <w:marRight w:val="0"/>
      <w:marTop w:val="0"/>
      <w:marBottom w:val="0"/>
      <w:divBdr>
        <w:top w:val="none" w:sz="0" w:space="0" w:color="auto"/>
        <w:left w:val="none" w:sz="0" w:space="0" w:color="auto"/>
        <w:bottom w:val="none" w:sz="0" w:space="0" w:color="auto"/>
        <w:right w:val="none" w:sz="0" w:space="0" w:color="auto"/>
      </w:divBdr>
    </w:div>
    <w:div w:id="1741445664">
      <w:bodyDiv w:val="1"/>
      <w:marLeft w:val="0"/>
      <w:marRight w:val="0"/>
      <w:marTop w:val="0"/>
      <w:marBottom w:val="0"/>
      <w:divBdr>
        <w:top w:val="none" w:sz="0" w:space="0" w:color="auto"/>
        <w:left w:val="none" w:sz="0" w:space="0" w:color="auto"/>
        <w:bottom w:val="none" w:sz="0" w:space="0" w:color="auto"/>
        <w:right w:val="none" w:sz="0" w:space="0" w:color="auto"/>
      </w:divBdr>
    </w:div>
    <w:div w:id="191477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5702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Corinne</cp:lastModifiedBy>
  <cp:revision>2</cp:revision>
  <cp:lastPrinted>2020-02-10T20:07:00Z</cp:lastPrinted>
  <dcterms:created xsi:type="dcterms:W3CDTF">2020-03-17T13:21:00Z</dcterms:created>
  <dcterms:modified xsi:type="dcterms:W3CDTF">2020-03-17T13:21:00Z</dcterms:modified>
</cp:coreProperties>
</file>